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AC85E" w14:textId="77777777" w:rsidR="009B6F99" w:rsidRPr="009B6F99" w:rsidRDefault="009B6F99" w:rsidP="009B6F99">
      <w:pPr>
        <w:pStyle w:val="NormaleWeb"/>
        <w:spacing w:before="0" w:beforeAutospacing="0" w:after="0" w:afterAutospacing="0"/>
        <w:ind w:firstLine="567"/>
        <w:jc w:val="center"/>
        <w:rPr>
          <w:rFonts w:ascii="Century Gothic" w:hAnsi="Century Gothic"/>
          <w:b/>
          <w:bCs/>
          <w:sz w:val="20"/>
          <w:szCs w:val="18"/>
        </w:rPr>
      </w:pPr>
    </w:p>
    <w:p w14:paraId="5B35670F" w14:textId="77777777" w:rsidR="009B6F99" w:rsidRPr="009B6F99" w:rsidRDefault="009B6F99" w:rsidP="009B6F99">
      <w:pPr>
        <w:pStyle w:val="Titolo2"/>
        <w:jc w:val="center"/>
        <w:rPr>
          <w:rFonts w:ascii="Century Gothic" w:hAnsi="Century Gothic"/>
          <w:bCs/>
          <w:sz w:val="20"/>
        </w:rPr>
      </w:pPr>
      <w:r w:rsidRPr="009B6F99">
        <w:rPr>
          <w:rFonts w:ascii="Century Gothic" w:hAnsi="Century Gothic"/>
          <w:bCs/>
          <w:sz w:val="20"/>
        </w:rPr>
        <w:t>AVVISO</w:t>
      </w:r>
    </w:p>
    <w:p w14:paraId="2ABF8B09" w14:textId="77777777" w:rsidR="009B6F99" w:rsidRPr="009B6F99" w:rsidRDefault="009B6F99" w:rsidP="009B6F99">
      <w:pPr>
        <w:jc w:val="center"/>
        <w:rPr>
          <w:rFonts w:ascii="Century Gothic" w:hAnsi="Century Gothic"/>
          <w:b/>
          <w:bCs/>
          <w:sz w:val="20"/>
        </w:rPr>
      </w:pPr>
    </w:p>
    <w:p w14:paraId="114590EB" w14:textId="77777777" w:rsidR="009B6F99" w:rsidRPr="009B6F99" w:rsidRDefault="009B6F99" w:rsidP="009B6F99">
      <w:pPr>
        <w:pStyle w:val="Titolo6"/>
        <w:jc w:val="center"/>
        <w:rPr>
          <w:rFonts w:ascii="Century Gothic" w:hAnsi="Century Gothic"/>
          <w:b/>
          <w:bCs/>
          <w:i w:val="0"/>
          <w:sz w:val="20"/>
          <w:u w:val="single"/>
        </w:rPr>
      </w:pPr>
      <w:r w:rsidRPr="009B6F99">
        <w:rPr>
          <w:rFonts w:ascii="Century Gothic" w:hAnsi="Century Gothic"/>
          <w:b/>
          <w:bCs/>
          <w:i w:val="0"/>
          <w:sz w:val="20"/>
          <w:u w:val="single"/>
        </w:rPr>
        <w:t>Depositi “dormienti”</w:t>
      </w:r>
    </w:p>
    <w:p w14:paraId="55137343" w14:textId="77777777" w:rsidR="009B6F99" w:rsidRDefault="009B6F99" w:rsidP="009B6F99">
      <w:pPr>
        <w:ind w:firstLine="284"/>
        <w:jc w:val="both"/>
        <w:rPr>
          <w:rFonts w:ascii="Century Gothic" w:hAnsi="Century Gothic"/>
          <w:sz w:val="20"/>
        </w:rPr>
      </w:pPr>
    </w:p>
    <w:p w14:paraId="6639A99A" w14:textId="77777777" w:rsidR="009B6F99" w:rsidRDefault="009B6F99" w:rsidP="009B6F99">
      <w:pPr>
        <w:jc w:val="both"/>
        <w:rPr>
          <w:rFonts w:ascii="Century Gothic" w:hAnsi="Century Gothic"/>
          <w:sz w:val="20"/>
        </w:rPr>
      </w:pPr>
      <w:r>
        <w:rPr>
          <w:rStyle w:val="numero"/>
          <w:rFonts w:ascii="Century Gothic" w:hAnsi="Century Gothic"/>
          <w:sz w:val="20"/>
        </w:rPr>
        <w:t xml:space="preserve">La Legge Finanziaria per il 2006 </w:t>
      </w:r>
      <w:r w:rsidRPr="009B6F99">
        <w:rPr>
          <w:rStyle w:val="numero"/>
          <w:rFonts w:ascii="Century Gothic" w:hAnsi="Century Gothic"/>
          <w:sz w:val="20"/>
        </w:rPr>
        <w:t>(</w:t>
      </w:r>
      <w:r w:rsidRPr="009B6F99">
        <w:rPr>
          <w:rStyle w:val="tipo"/>
          <w:rFonts w:ascii="Century Gothic" w:hAnsi="Century Gothic"/>
          <w:sz w:val="20"/>
        </w:rPr>
        <w:t xml:space="preserve">art. 1, comma 343, della legge </w:t>
      </w:r>
      <w:r w:rsidRPr="009B6F99">
        <w:rPr>
          <w:rFonts w:ascii="Century Gothic" w:hAnsi="Century Gothic"/>
          <w:sz w:val="20"/>
        </w:rPr>
        <w:t xml:space="preserve">23 dicembre 2005, n. </w:t>
      </w:r>
      <w:r w:rsidRPr="009B6F99">
        <w:rPr>
          <w:rStyle w:val="numero"/>
          <w:rFonts w:ascii="Century Gothic" w:hAnsi="Century Gothic"/>
          <w:sz w:val="20"/>
        </w:rPr>
        <w:t>266)</w:t>
      </w:r>
      <w:r w:rsidRPr="009B6F99">
        <w:rPr>
          <w:rStyle w:val="numero"/>
          <w:rFonts w:ascii="Century Gothic" w:hAnsi="Century Gothic"/>
          <w:b/>
          <w:bCs/>
          <w:sz w:val="20"/>
        </w:rPr>
        <w:t xml:space="preserve"> </w:t>
      </w:r>
      <w:r w:rsidRPr="009B6F99">
        <w:rPr>
          <w:rStyle w:val="numero"/>
          <w:rFonts w:ascii="Century Gothic" w:hAnsi="Century Gothic"/>
          <w:sz w:val="20"/>
        </w:rPr>
        <w:t>ha stabilito la costituzione di un Fondo</w:t>
      </w:r>
      <w:r w:rsidRPr="009B6F99">
        <w:rPr>
          <w:rStyle w:val="numero"/>
          <w:rFonts w:ascii="Century Gothic" w:hAnsi="Century Gothic"/>
          <w:b/>
          <w:bCs/>
          <w:sz w:val="20"/>
        </w:rPr>
        <w:t xml:space="preserve"> </w:t>
      </w:r>
      <w:r w:rsidRPr="009B6F99">
        <w:rPr>
          <w:rFonts w:ascii="Century Gothic" w:hAnsi="Century Gothic"/>
          <w:sz w:val="20"/>
        </w:rPr>
        <w:t>per indennizzare i risparmiatori che, investendo sul mercato finanziario, sono rimasti vittime di frodi finanziarie e che hanno sofferto un danno ingiusto non altrimenti risarcito</w:t>
      </w:r>
      <w:r>
        <w:rPr>
          <w:rFonts w:ascii="Century Gothic" w:hAnsi="Century Gothic"/>
          <w:sz w:val="20"/>
        </w:rPr>
        <w:t>.</w:t>
      </w:r>
    </w:p>
    <w:p w14:paraId="4D2C7819" w14:textId="77777777" w:rsidR="009B6F99" w:rsidRDefault="009B6F99" w:rsidP="009B6F99">
      <w:pPr>
        <w:jc w:val="both"/>
        <w:rPr>
          <w:rFonts w:ascii="Century Gothic" w:hAnsi="Century Gothic"/>
          <w:sz w:val="20"/>
        </w:rPr>
      </w:pPr>
    </w:p>
    <w:p w14:paraId="3E083A4A" w14:textId="77777777" w:rsidR="009B6F99" w:rsidRDefault="009B6F99" w:rsidP="009B6F99">
      <w:pPr>
        <w:jc w:val="both"/>
        <w:rPr>
          <w:rFonts w:ascii="Century Gothic" w:hAnsi="Century Gothic"/>
          <w:sz w:val="20"/>
        </w:rPr>
      </w:pPr>
      <w:r>
        <w:rPr>
          <w:rFonts w:ascii="Century Gothic" w:hAnsi="Century Gothic"/>
          <w:sz w:val="20"/>
        </w:rPr>
        <w:t xml:space="preserve">Il Fondo viene alimentato dall'importo dei conti correnti e degli altri rapporti bancari definiti come </w:t>
      </w:r>
      <w:r>
        <w:rPr>
          <w:rFonts w:ascii="Century Gothic" w:hAnsi="Century Gothic"/>
          <w:b/>
          <w:bCs/>
          <w:sz w:val="20"/>
        </w:rPr>
        <w:t>“dormienti”</w:t>
      </w:r>
      <w:r>
        <w:rPr>
          <w:rFonts w:ascii="Century Gothic" w:hAnsi="Century Gothic"/>
          <w:sz w:val="20"/>
        </w:rPr>
        <w:t xml:space="preserve"> all'interno del sistema bancario nonché del comparto assicurativo e finanziario.</w:t>
      </w:r>
    </w:p>
    <w:p w14:paraId="5CB0EF3D" w14:textId="77777777" w:rsidR="009B6F99" w:rsidRDefault="009B6F99" w:rsidP="009B6F99">
      <w:pPr>
        <w:jc w:val="both"/>
        <w:rPr>
          <w:rFonts w:ascii="Century Gothic" w:hAnsi="Century Gothic"/>
          <w:sz w:val="20"/>
        </w:rPr>
      </w:pPr>
    </w:p>
    <w:p w14:paraId="0AD6E682" w14:textId="7B6CC409" w:rsidR="009B6F99" w:rsidRDefault="009B6F99" w:rsidP="009B6F99">
      <w:pPr>
        <w:jc w:val="both"/>
        <w:rPr>
          <w:rFonts w:ascii="Century Gothic" w:hAnsi="Century Gothic"/>
          <w:sz w:val="20"/>
        </w:rPr>
      </w:pPr>
      <w:r>
        <w:rPr>
          <w:rFonts w:ascii="Century Gothic" w:hAnsi="Century Gothic"/>
          <w:sz w:val="20"/>
        </w:rPr>
        <w:t>In attuazione dell’art. 1, comma 345, della citata Legge Finanziaria per il 2006, il D.P.R. 22 giugno 2007, n. 116 (di seguito “Regolamento</w:t>
      </w:r>
      <w:r>
        <w:rPr>
          <w:rFonts w:ascii="Century Gothic" w:hAnsi="Century Gothic"/>
          <w:sz w:val="20"/>
        </w:rPr>
        <w:t>”) ha</w:t>
      </w:r>
      <w:r>
        <w:rPr>
          <w:rFonts w:ascii="Century Gothic" w:hAnsi="Century Gothic"/>
          <w:b/>
          <w:bCs/>
          <w:sz w:val="20"/>
        </w:rPr>
        <w:t xml:space="preserve"> definito “dormienti” i seguenti rapporti di:</w:t>
      </w:r>
    </w:p>
    <w:p w14:paraId="7155B98D" w14:textId="77777777" w:rsidR="009B6F99" w:rsidRDefault="009B6F99" w:rsidP="009B6F99">
      <w:pPr>
        <w:pStyle w:val="NormaleWeb"/>
        <w:numPr>
          <w:ilvl w:val="1"/>
          <w:numId w:val="20"/>
        </w:numPr>
        <w:tabs>
          <w:tab w:val="num" w:pos="1260"/>
        </w:tabs>
        <w:spacing w:before="0" w:beforeAutospacing="0" w:after="0" w:afterAutospacing="0"/>
        <w:ind w:left="1260"/>
        <w:jc w:val="both"/>
        <w:rPr>
          <w:rFonts w:ascii="Century Gothic" w:hAnsi="Century Gothic"/>
          <w:sz w:val="20"/>
        </w:rPr>
      </w:pPr>
      <w:r>
        <w:rPr>
          <w:rFonts w:ascii="Century Gothic" w:hAnsi="Century Gothic"/>
          <w:sz w:val="20"/>
        </w:rPr>
        <w:t>deposito di somme di denaro, effettuato presso l'intermediario con l'obbligo di rimborso (ad esempio: rapporti di conto corrente, deposito a risparmio nominativo ecc.);</w:t>
      </w:r>
    </w:p>
    <w:p w14:paraId="00BC5C80" w14:textId="00ED34FC" w:rsidR="009B6F99" w:rsidRDefault="009B6F99" w:rsidP="009B6F99">
      <w:pPr>
        <w:pStyle w:val="NormaleWeb"/>
        <w:numPr>
          <w:ilvl w:val="1"/>
          <w:numId w:val="20"/>
        </w:numPr>
        <w:tabs>
          <w:tab w:val="num" w:pos="1260"/>
        </w:tabs>
        <w:spacing w:before="0" w:beforeAutospacing="0" w:after="0" w:afterAutospacing="0"/>
        <w:ind w:left="1260"/>
        <w:jc w:val="both"/>
        <w:rPr>
          <w:rFonts w:ascii="Century Gothic" w:hAnsi="Century Gothic"/>
          <w:sz w:val="20"/>
        </w:rPr>
      </w:pPr>
      <w:r>
        <w:rPr>
          <w:rFonts w:ascii="Century Gothic" w:hAnsi="Century Gothic"/>
          <w:sz w:val="20"/>
        </w:rPr>
        <w:t xml:space="preserve">deposito di strumenti finanziari in custodia </w:t>
      </w:r>
      <w:r>
        <w:rPr>
          <w:rFonts w:ascii="Century Gothic" w:hAnsi="Century Gothic"/>
          <w:sz w:val="20"/>
        </w:rPr>
        <w:t>e</w:t>
      </w:r>
      <w:r>
        <w:rPr>
          <w:rFonts w:ascii="Century Gothic" w:hAnsi="Century Gothic"/>
          <w:sz w:val="20"/>
        </w:rPr>
        <w:t xml:space="preserve"> amministrazione (ad esempio: deposito titoli);</w:t>
      </w:r>
    </w:p>
    <w:p w14:paraId="55353ACB" w14:textId="77777777" w:rsidR="009B6F99" w:rsidRDefault="009B6F99" w:rsidP="009B6F99">
      <w:pPr>
        <w:pStyle w:val="NormaleWeb"/>
        <w:numPr>
          <w:ilvl w:val="1"/>
          <w:numId w:val="20"/>
        </w:numPr>
        <w:tabs>
          <w:tab w:val="num" w:pos="1260"/>
        </w:tabs>
        <w:spacing w:before="0" w:beforeAutospacing="0" w:after="0" w:afterAutospacing="0"/>
        <w:ind w:left="1260"/>
        <w:jc w:val="both"/>
        <w:rPr>
          <w:rFonts w:ascii="Century Gothic" w:hAnsi="Century Gothic"/>
          <w:sz w:val="20"/>
        </w:rPr>
      </w:pPr>
      <w:r>
        <w:rPr>
          <w:rFonts w:ascii="Century Gothic" w:hAnsi="Century Gothic"/>
          <w:sz w:val="20"/>
        </w:rPr>
        <w:t>contratto di assicurazione di cui all'articolo 2, comma 1, del decreto legislativo 7 settembre 2005, n. 209 (ramo vita), in tutti i casi in cui l'assicuratore si impegna al pagamento di una rendita o di un capitale al beneficiario ad una data prefissata,</w:t>
      </w:r>
    </w:p>
    <w:p w14:paraId="761D6299" w14:textId="77777777" w:rsidR="009B6F99" w:rsidRDefault="009B6F99" w:rsidP="009B6F99">
      <w:pPr>
        <w:pStyle w:val="NormaleWeb"/>
        <w:spacing w:before="0" w:beforeAutospacing="0" w:after="0" w:afterAutospacing="0"/>
        <w:jc w:val="both"/>
        <w:rPr>
          <w:rFonts w:ascii="Century Gothic" w:hAnsi="Century Gothic"/>
          <w:b/>
          <w:bCs/>
          <w:sz w:val="20"/>
        </w:rPr>
      </w:pPr>
    </w:p>
    <w:p w14:paraId="605C7F9E" w14:textId="77777777" w:rsidR="009B6F99" w:rsidRDefault="009B6F99" w:rsidP="009B6F99">
      <w:pPr>
        <w:pStyle w:val="NormaleWeb"/>
        <w:spacing w:before="0" w:beforeAutospacing="0" w:after="0" w:afterAutospacing="0"/>
        <w:jc w:val="both"/>
        <w:rPr>
          <w:rFonts w:ascii="Century Gothic" w:hAnsi="Century Gothic"/>
          <w:b/>
          <w:bCs/>
          <w:sz w:val="20"/>
        </w:rPr>
      </w:pPr>
      <w:r>
        <w:rPr>
          <w:rFonts w:ascii="Century Gothic" w:hAnsi="Century Gothic"/>
          <w:b/>
          <w:bCs/>
          <w:sz w:val="20"/>
        </w:rPr>
        <w:t>in relazione ai quali si siano verificate le seguenti condizioni:</w:t>
      </w:r>
    </w:p>
    <w:p w14:paraId="5798A9F0" w14:textId="77777777" w:rsidR="009B6F99" w:rsidRDefault="009B6F99" w:rsidP="009B6F99">
      <w:pPr>
        <w:pStyle w:val="NormaleWeb"/>
        <w:numPr>
          <w:ilvl w:val="1"/>
          <w:numId w:val="20"/>
        </w:numPr>
        <w:tabs>
          <w:tab w:val="num" w:pos="1260"/>
        </w:tabs>
        <w:spacing w:before="0" w:beforeAutospacing="0" w:after="0" w:afterAutospacing="0"/>
        <w:ind w:left="1260"/>
        <w:jc w:val="both"/>
        <w:rPr>
          <w:rFonts w:ascii="Century Gothic" w:hAnsi="Century Gothic"/>
          <w:sz w:val="20"/>
        </w:rPr>
      </w:pPr>
      <w:r>
        <w:rPr>
          <w:rFonts w:ascii="Century Gothic" w:hAnsi="Century Gothic"/>
          <w:sz w:val="20"/>
        </w:rPr>
        <w:t xml:space="preserve">non sia stata effettuata alcuna operazione o movimentazione </w:t>
      </w:r>
      <w:r>
        <w:rPr>
          <w:rFonts w:ascii="Century Gothic" w:hAnsi="Century Gothic"/>
          <w:b/>
          <w:bCs/>
          <w:sz w:val="20"/>
        </w:rPr>
        <w:t>ad iniziativa del titolare del rapporto o di terzi da questo delegati</w:t>
      </w:r>
      <w:r>
        <w:rPr>
          <w:rFonts w:ascii="Century Gothic" w:hAnsi="Century Gothic"/>
          <w:sz w:val="20"/>
        </w:rPr>
        <w:t xml:space="preserve">, escluso l'intermediario non specificatamente delegato in forma scritta, </w:t>
      </w:r>
      <w:r>
        <w:rPr>
          <w:rFonts w:ascii="Century Gothic" w:hAnsi="Century Gothic"/>
          <w:b/>
          <w:bCs/>
          <w:sz w:val="20"/>
        </w:rPr>
        <w:t>per il periodo di tempo di 10 anni</w:t>
      </w:r>
      <w:r>
        <w:rPr>
          <w:rFonts w:ascii="Century Gothic" w:hAnsi="Century Gothic"/>
          <w:sz w:val="20"/>
        </w:rPr>
        <w:t xml:space="preserve"> decorrenti dalla data di libera disponibilità delle somme e degli strumenti finanziari;</w:t>
      </w:r>
    </w:p>
    <w:p w14:paraId="16BC385A" w14:textId="77777777" w:rsidR="009B6F99" w:rsidRDefault="009B6F99" w:rsidP="009B6F99">
      <w:pPr>
        <w:pStyle w:val="NormaleWeb"/>
        <w:numPr>
          <w:ilvl w:val="1"/>
          <w:numId w:val="20"/>
        </w:numPr>
        <w:tabs>
          <w:tab w:val="num" w:pos="1260"/>
        </w:tabs>
        <w:spacing w:before="0" w:beforeAutospacing="0" w:after="0" w:afterAutospacing="0"/>
        <w:ind w:left="1260"/>
        <w:jc w:val="both"/>
        <w:rPr>
          <w:rFonts w:ascii="Century Gothic" w:hAnsi="Century Gothic"/>
          <w:sz w:val="20"/>
        </w:rPr>
      </w:pPr>
      <w:r>
        <w:rPr>
          <w:rFonts w:ascii="Century Gothic" w:hAnsi="Century Gothic"/>
          <w:sz w:val="20"/>
        </w:rPr>
        <w:t>il valore dei beni sia superiore a 100,00 euro.</w:t>
      </w:r>
    </w:p>
    <w:p w14:paraId="4DCA9835" w14:textId="77777777" w:rsidR="009B6F99" w:rsidRDefault="009B6F99" w:rsidP="009B6F99">
      <w:pPr>
        <w:pStyle w:val="NormaleWeb"/>
        <w:spacing w:before="0" w:beforeAutospacing="0" w:after="0" w:afterAutospacing="0"/>
        <w:ind w:firstLine="284"/>
        <w:jc w:val="both"/>
        <w:rPr>
          <w:rFonts w:ascii="Century Gothic" w:hAnsi="Century Gothic"/>
          <w:sz w:val="20"/>
        </w:rPr>
      </w:pPr>
    </w:p>
    <w:p w14:paraId="703DF5FA" w14:textId="77777777" w:rsidR="009B6F99" w:rsidRDefault="009B6F99" w:rsidP="009B6F99">
      <w:pPr>
        <w:pStyle w:val="NormaleWeb"/>
        <w:spacing w:before="0" w:beforeAutospacing="0" w:after="0" w:afterAutospacing="0"/>
        <w:jc w:val="both"/>
        <w:rPr>
          <w:rFonts w:ascii="Century Gothic" w:hAnsi="Century Gothic"/>
          <w:sz w:val="20"/>
        </w:rPr>
      </w:pPr>
      <w:r>
        <w:rPr>
          <w:rFonts w:ascii="Century Gothic" w:hAnsi="Century Gothic"/>
          <w:sz w:val="20"/>
        </w:rPr>
        <w:t>Al verificarsi delle condizioni di “dormienza” la banca invia al titolare del rapporto, mediante lettera raccomandata con avviso di ricevimento indirizzata all'ultimo indirizzo comunicato o comunque conosciuto, o a terzi da lui eventualmente delegati, l'invito ad impartire disposizioni entro il termine di 180 giorni dalla data della ricezione, avvisandolo che, decorso tale termine, il rapporto verrà estinto dall’intermediario e le somme ed i valori relativi a ciascun rapporto verranno devoluti al Fondo restando impregiudicate le cause di estinzione dei diritti.</w:t>
      </w:r>
    </w:p>
    <w:p w14:paraId="14127807" w14:textId="77777777" w:rsidR="009B6F99" w:rsidRDefault="009B6F99" w:rsidP="009B6F99">
      <w:pPr>
        <w:pStyle w:val="NormaleWeb"/>
        <w:spacing w:before="0" w:beforeAutospacing="0" w:after="0" w:afterAutospacing="0"/>
        <w:ind w:firstLine="284"/>
        <w:jc w:val="both"/>
        <w:rPr>
          <w:rFonts w:ascii="Century Gothic" w:hAnsi="Century Gothic"/>
          <w:sz w:val="20"/>
        </w:rPr>
      </w:pPr>
    </w:p>
    <w:p w14:paraId="23934FEE" w14:textId="77777777" w:rsidR="009B6F99" w:rsidRDefault="009B6F99" w:rsidP="009B6F99">
      <w:pPr>
        <w:pStyle w:val="NormaleWeb"/>
        <w:spacing w:before="0" w:beforeAutospacing="0" w:after="0" w:afterAutospacing="0"/>
        <w:jc w:val="both"/>
        <w:rPr>
          <w:rFonts w:ascii="Century Gothic" w:hAnsi="Century Gothic"/>
          <w:sz w:val="20"/>
        </w:rPr>
      </w:pPr>
      <w:r>
        <w:rPr>
          <w:rFonts w:ascii="Century Gothic" w:hAnsi="Century Gothic"/>
          <w:sz w:val="20"/>
        </w:rPr>
        <w:t>Il rapporto “dormiente” non verrà estinto dall’intermediario se, entro il predetto termine di 180 giorni, verrà effettuata un'operazione o movimentazione ad iniziativa del titolare del rapporto o di terzi da questo delegati, escluso l'intermediario non specificatamente delegato in forma scritta.</w:t>
      </w:r>
    </w:p>
    <w:p w14:paraId="656E1774" w14:textId="77777777" w:rsidR="009B6F99" w:rsidRDefault="009B6F99" w:rsidP="009B6F99">
      <w:pPr>
        <w:pStyle w:val="NormaleWeb"/>
        <w:spacing w:before="0" w:beforeAutospacing="0" w:after="0" w:afterAutospacing="0"/>
        <w:jc w:val="both"/>
        <w:rPr>
          <w:rFonts w:ascii="Century Gothic" w:hAnsi="Century Gothic"/>
          <w:sz w:val="20"/>
        </w:rPr>
      </w:pPr>
    </w:p>
    <w:p w14:paraId="4B86AD9C" w14:textId="77777777" w:rsidR="009B6F99" w:rsidRDefault="009B6F99" w:rsidP="009B6F99">
      <w:pPr>
        <w:pStyle w:val="NormaleWeb"/>
        <w:spacing w:before="0" w:beforeAutospacing="0" w:after="0" w:afterAutospacing="0"/>
        <w:jc w:val="both"/>
        <w:rPr>
          <w:rFonts w:ascii="Century Gothic" w:hAnsi="Century Gothic"/>
          <w:sz w:val="20"/>
        </w:rPr>
      </w:pPr>
      <w:r>
        <w:rPr>
          <w:rFonts w:ascii="Century Gothic" w:hAnsi="Century Gothic"/>
          <w:sz w:val="20"/>
        </w:rPr>
        <w:t>La Legge 27 ottobre 2008 n. 166 ha esteso l’ambito di applicazione della disciplina riferita ai depositi dormienti alle seguenti fattispecie:</w:t>
      </w:r>
    </w:p>
    <w:p w14:paraId="08BF05CD" w14:textId="77777777" w:rsidR="009B6F99" w:rsidRDefault="009B6F99" w:rsidP="009B6F99">
      <w:pPr>
        <w:pStyle w:val="NormaleWeb"/>
        <w:numPr>
          <w:ilvl w:val="1"/>
          <w:numId w:val="20"/>
        </w:numPr>
        <w:tabs>
          <w:tab w:val="num" w:pos="1260"/>
        </w:tabs>
        <w:spacing w:before="0" w:beforeAutospacing="0" w:after="0" w:afterAutospacing="0"/>
        <w:ind w:left="1260"/>
        <w:jc w:val="both"/>
        <w:rPr>
          <w:rFonts w:ascii="Century Gothic" w:hAnsi="Century Gothic"/>
          <w:sz w:val="20"/>
        </w:rPr>
      </w:pPr>
      <w:r>
        <w:rPr>
          <w:rFonts w:ascii="Century Gothic" w:hAnsi="Century Gothic"/>
          <w:sz w:val="20"/>
        </w:rPr>
        <w:t>gli importi degli assegni circolari non riscossi entro il termine di prescrizione del relativo diritto di cui all'</w:t>
      </w:r>
      <w:hyperlink r:id="rId8" w:anchor="/ricerca/fonti_documento?idDatabank=7&amp;idDocMaster=2214269&amp;idUnitaDoc=6914819&amp;nVigUnitaDoc=1&amp;docIdx=1&amp;isCorrelazioniSearch=true&amp;correlatoA=Normativa" w:history="1">
        <w:r>
          <w:rPr>
            <w:rStyle w:val="Collegamentoipertestuale"/>
            <w:rFonts w:ascii="Century Gothic" w:hAnsi="Century Gothic"/>
            <w:color w:val="000000"/>
            <w:sz w:val="20"/>
          </w:rPr>
          <w:t>articolo 84, comma 2, del regio decreto 21 dicembre 1933, n. 1736</w:t>
        </w:r>
      </w:hyperlink>
      <w:r>
        <w:rPr>
          <w:rFonts w:ascii="Century Gothic" w:hAnsi="Century Gothic"/>
          <w:sz w:val="20"/>
        </w:rPr>
        <w:t xml:space="preserve"> (tre anni dalla data di emissione);</w:t>
      </w:r>
    </w:p>
    <w:p w14:paraId="234E51EE" w14:textId="77777777" w:rsidR="009B6F99" w:rsidRDefault="009B6F99" w:rsidP="009B6F99">
      <w:pPr>
        <w:pStyle w:val="NormaleWeb"/>
        <w:numPr>
          <w:ilvl w:val="1"/>
          <w:numId w:val="20"/>
        </w:numPr>
        <w:tabs>
          <w:tab w:val="num" w:pos="1260"/>
        </w:tabs>
        <w:autoSpaceDE w:val="0"/>
        <w:autoSpaceDN w:val="0"/>
        <w:adjustRightInd w:val="0"/>
        <w:spacing w:before="0" w:beforeAutospacing="0" w:after="0" w:afterAutospacing="0"/>
        <w:ind w:left="1260"/>
        <w:jc w:val="both"/>
        <w:rPr>
          <w:rFonts w:ascii="Century Gothic" w:hAnsi="Century Gothic"/>
          <w:sz w:val="20"/>
        </w:rPr>
      </w:pPr>
      <w:r>
        <w:rPr>
          <w:rFonts w:ascii="Century Gothic" w:hAnsi="Century Gothic"/>
          <w:sz w:val="20"/>
        </w:rPr>
        <w:t>gli importi dovuti ai beneficiari dei contratti di assicurazione di cui all'articolo 2, comma 1, del decreto legislativo 7 settembre 2005, n. 209 (ramo vita) che non sono reclamati entro il termine di prescrizione del relativo diritto, fermo restando quanto disposto dall'articolo 14, comma 3, del decreto legislativo 5 dicembre 2005, n. 252, in materia di forme pensionistiche complementari;</w:t>
      </w:r>
    </w:p>
    <w:p w14:paraId="0EA9E3BE" w14:textId="77777777" w:rsidR="009B6F99" w:rsidRDefault="009B6F99" w:rsidP="009B6F99">
      <w:pPr>
        <w:pStyle w:val="NormaleWeb"/>
        <w:numPr>
          <w:ilvl w:val="1"/>
          <w:numId w:val="20"/>
        </w:numPr>
        <w:tabs>
          <w:tab w:val="num" w:pos="1260"/>
        </w:tabs>
        <w:spacing w:before="0" w:beforeAutospacing="0" w:after="0" w:afterAutospacing="0"/>
        <w:ind w:left="1260"/>
        <w:jc w:val="both"/>
        <w:rPr>
          <w:rFonts w:ascii="Century Gothic" w:hAnsi="Century Gothic"/>
          <w:sz w:val="20"/>
        </w:rPr>
      </w:pPr>
      <w:r>
        <w:rPr>
          <w:rFonts w:ascii="Century Gothic" w:hAnsi="Century Gothic"/>
          <w:sz w:val="20"/>
        </w:rPr>
        <w:t>gli importi dovuti ai beneficiari dei buoni fruttiferi postali di cui all'articolo 2, comma 1, lettera b), del decreto legislativo 30 luglio 1999, n. 284, emessi dopo il 14 aprile 2001 che non sono reclamati entro il termine di prescrizione del relativo diritto.</w:t>
      </w:r>
    </w:p>
    <w:p w14:paraId="2692A00E" w14:textId="77777777" w:rsidR="009B6F99" w:rsidRDefault="009B6F99" w:rsidP="009B6F99">
      <w:pPr>
        <w:pStyle w:val="NormaleWeb"/>
        <w:spacing w:before="0" w:beforeAutospacing="0" w:after="0" w:afterAutospacing="0"/>
        <w:jc w:val="both"/>
        <w:rPr>
          <w:rFonts w:ascii="Century Gothic" w:hAnsi="Century Gothic"/>
          <w:sz w:val="20"/>
        </w:rPr>
      </w:pPr>
    </w:p>
    <w:p w14:paraId="6212FD1E" w14:textId="77777777" w:rsidR="009B6F99" w:rsidRDefault="009B6F99" w:rsidP="009B6F99">
      <w:pPr>
        <w:pStyle w:val="NormaleWeb"/>
        <w:spacing w:before="0" w:beforeAutospacing="0" w:after="0" w:afterAutospacing="0"/>
        <w:jc w:val="both"/>
        <w:rPr>
          <w:rFonts w:ascii="Century Gothic" w:hAnsi="Century Gothic"/>
          <w:sz w:val="20"/>
        </w:rPr>
      </w:pPr>
      <w:r>
        <w:rPr>
          <w:rFonts w:ascii="Century Gothic" w:hAnsi="Century Gothic"/>
          <w:sz w:val="20"/>
        </w:rPr>
        <w:lastRenderedPageBreak/>
        <w:t>E’ altresì previsto che gli intermediari, tra cui le banche:</w:t>
      </w:r>
    </w:p>
    <w:p w14:paraId="0D856568" w14:textId="77777777" w:rsidR="009B6F99" w:rsidRDefault="009B6F99" w:rsidP="009B6F99">
      <w:pPr>
        <w:pStyle w:val="NormaleWeb"/>
        <w:numPr>
          <w:ilvl w:val="0"/>
          <w:numId w:val="21"/>
        </w:numPr>
        <w:spacing w:before="0" w:beforeAutospacing="0" w:after="0" w:afterAutospacing="0"/>
        <w:jc w:val="both"/>
        <w:rPr>
          <w:rFonts w:ascii="Century Gothic" w:hAnsi="Century Gothic"/>
          <w:sz w:val="20"/>
        </w:rPr>
      </w:pPr>
      <w:r>
        <w:rPr>
          <w:rFonts w:ascii="Century Gothic" w:hAnsi="Century Gothic"/>
          <w:sz w:val="20"/>
        </w:rPr>
        <w:t xml:space="preserve"> verifichino, entro il 31 dicembre di ciascun anno, tramite servizio di cooperazione informatica con l'Agenzia delle Entrate, esclusivamente per i dati strettamente necessari, l'esistenza in vita dei titolari dei rapporti contrattuali rientranti nel campo di applicazione del Regolamento e</w:t>
      </w:r>
    </w:p>
    <w:p w14:paraId="519003C6" w14:textId="77777777" w:rsidR="009B6F99" w:rsidRDefault="009B6F99" w:rsidP="009B6F99">
      <w:pPr>
        <w:pStyle w:val="NormaleWeb"/>
        <w:numPr>
          <w:ilvl w:val="0"/>
          <w:numId w:val="21"/>
        </w:numPr>
        <w:spacing w:before="0" w:beforeAutospacing="0" w:after="0" w:afterAutospacing="0"/>
        <w:jc w:val="both"/>
        <w:rPr>
          <w:rFonts w:ascii="Century Gothic" w:hAnsi="Century Gothic"/>
          <w:sz w:val="20"/>
        </w:rPr>
      </w:pPr>
      <w:r>
        <w:rPr>
          <w:rFonts w:ascii="Century Gothic" w:hAnsi="Century Gothic"/>
          <w:sz w:val="20"/>
        </w:rPr>
        <w:t xml:space="preserve"> in caso di corrispondenza tra il codice fiscale del titolare del rapporto contrattuale e persona deceduta, inviino al titolare del rapporto, mediante lettera raccomandata con avviso di ricevimento indirizzata all'ultimo indirizzo di residenza o di domicilio comunicato o comunque conosciuto, o a terzi da lui eventualmente delegati, l'invito ad impartire disposizioni da parte di possibili legittimi eredi.</w:t>
      </w:r>
    </w:p>
    <w:p w14:paraId="1CED973A" w14:textId="77777777" w:rsidR="009B6F99" w:rsidRDefault="009B6F99" w:rsidP="009B6F99">
      <w:pPr>
        <w:pStyle w:val="NormaleWeb"/>
        <w:spacing w:before="0" w:beforeAutospacing="0" w:after="0" w:afterAutospacing="0"/>
        <w:jc w:val="both"/>
        <w:rPr>
          <w:rFonts w:ascii="Century Gothic" w:hAnsi="Century Gothic"/>
          <w:sz w:val="20"/>
        </w:rPr>
      </w:pPr>
    </w:p>
    <w:p w14:paraId="61CF4CCE" w14:textId="77777777" w:rsidR="009B6F99" w:rsidRDefault="009B6F99" w:rsidP="009B6F99">
      <w:pPr>
        <w:pStyle w:val="NormaleWeb"/>
        <w:spacing w:before="0" w:beforeAutospacing="0" w:after="0" w:afterAutospacing="0"/>
        <w:jc w:val="both"/>
        <w:rPr>
          <w:rFonts w:ascii="Century Gothic" w:hAnsi="Century Gothic"/>
          <w:sz w:val="20"/>
        </w:rPr>
      </w:pPr>
    </w:p>
    <w:p w14:paraId="68C278A3" w14:textId="77777777" w:rsidR="009B6F99" w:rsidRDefault="009B6F99" w:rsidP="009B6F99">
      <w:pPr>
        <w:pStyle w:val="NormaleWeb"/>
        <w:spacing w:before="0" w:beforeAutospacing="0" w:after="0" w:afterAutospacing="0"/>
        <w:ind w:firstLine="284"/>
        <w:jc w:val="center"/>
        <w:rPr>
          <w:rFonts w:ascii="Century Gothic" w:hAnsi="Century Gothic"/>
          <w:b/>
          <w:bCs/>
          <w:smallCaps/>
          <w:sz w:val="20"/>
          <w:u w:val="single"/>
        </w:rPr>
      </w:pPr>
      <w:r>
        <w:rPr>
          <w:rFonts w:ascii="Century Gothic" w:hAnsi="Century Gothic"/>
          <w:b/>
          <w:bCs/>
          <w:smallCaps/>
          <w:sz w:val="20"/>
          <w:u w:val="single"/>
        </w:rPr>
        <w:t>Depositi al portatore “dormienti”</w:t>
      </w:r>
    </w:p>
    <w:p w14:paraId="079B0472" w14:textId="77777777" w:rsidR="009B6F99" w:rsidRDefault="009B6F99" w:rsidP="009B6F99">
      <w:pPr>
        <w:pStyle w:val="NormaleWeb"/>
        <w:spacing w:before="0" w:beforeAutospacing="0" w:after="0" w:afterAutospacing="0"/>
        <w:ind w:firstLine="284"/>
        <w:jc w:val="both"/>
        <w:rPr>
          <w:rFonts w:ascii="Century Gothic" w:hAnsi="Century Gothic"/>
          <w:sz w:val="20"/>
        </w:rPr>
      </w:pPr>
    </w:p>
    <w:p w14:paraId="61064D39" w14:textId="77777777" w:rsidR="009B6F99" w:rsidRDefault="009B6F99" w:rsidP="009B6F99">
      <w:pPr>
        <w:autoSpaceDE w:val="0"/>
        <w:autoSpaceDN w:val="0"/>
        <w:adjustRightInd w:val="0"/>
        <w:jc w:val="both"/>
        <w:rPr>
          <w:rFonts w:ascii="Century Gothic" w:hAnsi="Century Gothic"/>
          <w:sz w:val="20"/>
        </w:rPr>
      </w:pPr>
      <w:r>
        <w:rPr>
          <w:rFonts w:ascii="Century Gothic" w:hAnsi="Century Gothic"/>
          <w:sz w:val="20"/>
        </w:rPr>
        <w:t>Anche i rapporti di</w:t>
      </w:r>
      <w:r>
        <w:rPr>
          <w:rFonts w:ascii="Century Gothic" w:hAnsi="Century Gothic"/>
          <w:b/>
          <w:bCs/>
          <w:sz w:val="20"/>
        </w:rPr>
        <w:t xml:space="preserve"> deposito al portatore (rappresentati ad esempio da libretti al portatore)</w:t>
      </w:r>
      <w:r>
        <w:rPr>
          <w:rFonts w:ascii="Century Gothic" w:hAnsi="Century Gothic"/>
          <w:sz w:val="20"/>
        </w:rPr>
        <w:t xml:space="preserve">, il cui saldo sia superiore a 100,00 euro e che </w:t>
      </w:r>
      <w:r>
        <w:rPr>
          <w:rFonts w:ascii="Century Gothic" w:hAnsi="Century Gothic"/>
          <w:b/>
          <w:bCs/>
          <w:sz w:val="20"/>
        </w:rPr>
        <w:t>non risultano movimentati da oltre dieci anni</w:t>
      </w:r>
      <w:r>
        <w:rPr>
          <w:rFonts w:ascii="Century Gothic" w:hAnsi="Century Gothic"/>
          <w:sz w:val="20"/>
        </w:rPr>
        <w:t xml:space="preserve">, sono destinatari della disciplina dei depositi “dormienti”.  </w:t>
      </w:r>
    </w:p>
    <w:p w14:paraId="49CD6C4F" w14:textId="77777777" w:rsidR="009B6F99" w:rsidRDefault="009B6F99" w:rsidP="009B6F99">
      <w:pPr>
        <w:autoSpaceDE w:val="0"/>
        <w:autoSpaceDN w:val="0"/>
        <w:adjustRightInd w:val="0"/>
        <w:jc w:val="both"/>
        <w:rPr>
          <w:rFonts w:ascii="Century Gothic" w:hAnsi="Century Gothic"/>
          <w:sz w:val="20"/>
        </w:rPr>
      </w:pPr>
    </w:p>
    <w:p w14:paraId="68C0DC0D" w14:textId="77777777" w:rsidR="009B6F99" w:rsidRDefault="009B6F99" w:rsidP="009B6F99">
      <w:pPr>
        <w:autoSpaceDE w:val="0"/>
        <w:autoSpaceDN w:val="0"/>
        <w:adjustRightInd w:val="0"/>
        <w:jc w:val="both"/>
        <w:rPr>
          <w:rFonts w:ascii="Century Gothic" w:hAnsi="Century Gothic"/>
          <w:sz w:val="20"/>
        </w:rPr>
      </w:pPr>
      <w:r>
        <w:rPr>
          <w:rFonts w:ascii="Century Gothic" w:hAnsi="Century Gothic"/>
          <w:sz w:val="20"/>
        </w:rPr>
        <w:t xml:space="preserve">Nel rispetto degli obblighi di informativa previsti dalla normativa e stante </w:t>
      </w:r>
      <w:r>
        <w:rPr>
          <w:rFonts w:ascii="Century Gothic" w:hAnsi="Century Gothic"/>
          <w:b/>
          <w:bCs/>
          <w:sz w:val="20"/>
        </w:rPr>
        <w:t>l’impossibilità della banca di individuare i titolari tempo per tempo di tali rapporti</w:t>
      </w:r>
      <w:r>
        <w:rPr>
          <w:rFonts w:ascii="Century Gothic" w:hAnsi="Century Gothic"/>
          <w:sz w:val="20"/>
        </w:rPr>
        <w:t xml:space="preserve">, si invitano i titolari stessi a presentare presso gli sportelli della banca, </w:t>
      </w:r>
      <w:r>
        <w:rPr>
          <w:rFonts w:ascii="Century Gothic" w:hAnsi="Century Gothic"/>
          <w:b/>
          <w:bCs/>
          <w:sz w:val="20"/>
        </w:rPr>
        <w:t>entro 180 giorni dall’affissione dell’elenco allegato al presente avviso</w:t>
      </w:r>
      <w:r>
        <w:rPr>
          <w:rFonts w:ascii="Century Gothic" w:hAnsi="Century Gothic"/>
          <w:sz w:val="20"/>
        </w:rPr>
        <w:t>, i relativi titoli rappresentativi  per l’estinzione, tenuto conto di quanto previsto in materia antiriciclaggio dall’art. 49, comma 12, e dell’art. 63, comma 12, del decreto legislativo 21 novembre 2001 n. 231 e successive modificazioni</w:t>
      </w:r>
      <w:r>
        <w:rPr>
          <w:rStyle w:val="Rimandonotaapidipagina"/>
          <w:sz w:val="20"/>
        </w:rPr>
        <w:footnoteReference w:id="1"/>
      </w:r>
      <w:r>
        <w:rPr>
          <w:rFonts w:ascii="Century Gothic" w:hAnsi="Century Gothic"/>
          <w:sz w:val="20"/>
        </w:rPr>
        <w:t xml:space="preserve">. </w:t>
      </w:r>
    </w:p>
    <w:p w14:paraId="49C6D842" w14:textId="77777777" w:rsidR="009B6F99" w:rsidRDefault="009B6F99" w:rsidP="009B6F99">
      <w:pPr>
        <w:autoSpaceDE w:val="0"/>
        <w:autoSpaceDN w:val="0"/>
        <w:adjustRightInd w:val="0"/>
        <w:jc w:val="both"/>
        <w:rPr>
          <w:rFonts w:ascii="Century Gothic" w:hAnsi="Century Gothic"/>
          <w:sz w:val="20"/>
        </w:rPr>
      </w:pPr>
    </w:p>
    <w:p w14:paraId="6C632747" w14:textId="77777777" w:rsidR="009B6F99" w:rsidRDefault="009B6F99" w:rsidP="009B6F99">
      <w:pPr>
        <w:autoSpaceDE w:val="0"/>
        <w:autoSpaceDN w:val="0"/>
        <w:adjustRightInd w:val="0"/>
        <w:jc w:val="both"/>
        <w:rPr>
          <w:rFonts w:ascii="Century Gothic" w:hAnsi="Century Gothic"/>
          <w:sz w:val="20"/>
          <w:szCs w:val="19"/>
        </w:rPr>
      </w:pPr>
      <w:r>
        <w:rPr>
          <w:rFonts w:ascii="Century Gothic" w:hAnsi="Century Gothic"/>
          <w:sz w:val="20"/>
        </w:rPr>
        <w:t>Si fa presente che, i</w:t>
      </w:r>
      <w:r>
        <w:rPr>
          <w:rFonts w:ascii="Century Gothic" w:hAnsi="Century Gothic"/>
          <w:sz w:val="20"/>
          <w:szCs w:val="19"/>
        </w:rPr>
        <w:t>n mancanza di presentazione dei</w:t>
      </w:r>
      <w:r>
        <w:rPr>
          <w:rFonts w:ascii="Century Gothic" w:hAnsi="Century Gothic"/>
          <w:sz w:val="20"/>
        </w:rPr>
        <w:t xml:space="preserve"> titoli rappresentativi per l’estinzione</w:t>
      </w:r>
      <w:r>
        <w:rPr>
          <w:rFonts w:ascii="Century Gothic" w:hAnsi="Century Gothic"/>
          <w:sz w:val="20"/>
          <w:szCs w:val="19"/>
        </w:rPr>
        <w:t>, decorso il predetto termine, il rapporto verrà estinto e le somme ed i valori relativi al rapporto saranno devoluti al citato Fondo, secondo le modalità previste dal Regolamento.</w:t>
      </w:r>
    </w:p>
    <w:p w14:paraId="32E6BDB0" w14:textId="77777777" w:rsidR="009B6F99" w:rsidRDefault="009B6F99" w:rsidP="009B6F99">
      <w:pPr>
        <w:autoSpaceDE w:val="0"/>
        <w:autoSpaceDN w:val="0"/>
        <w:adjustRightInd w:val="0"/>
        <w:jc w:val="both"/>
        <w:rPr>
          <w:rFonts w:ascii="Century Gothic" w:hAnsi="Century Gothic"/>
          <w:sz w:val="20"/>
          <w:szCs w:val="19"/>
        </w:rPr>
      </w:pPr>
    </w:p>
    <w:p w14:paraId="5907DC2E" w14:textId="77777777" w:rsidR="009B6F99" w:rsidRDefault="009B6F99" w:rsidP="009B6F99">
      <w:pPr>
        <w:autoSpaceDE w:val="0"/>
        <w:autoSpaceDN w:val="0"/>
        <w:adjustRightInd w:val="0"/>
        <w:jc w:val="both"/>
        <w:rPr>
          <w:rFonts w:ascii="Century Gothic" w:hAnsi="Century Gothic"/>
          <w:sz w:val="20"/>
          <w:szCs w:val="19"/>
        </w:rPr>
      </w:pPr>
    </w:p>
    <w:p w14:paraId="1D96C959" w14:textId="77777777" w:rsidR="009B6F99" w:rsidRDefault="009B6F99" w:rsidP="009B6F99">
      <w:pPr>
        <w:pStyle w:val="NormaleWeb"/>
        <w:spacing w:before="0" w:beforeAutospacing="0" w:after="0" w:afterAutospacing="0"/>
        <w:ind w:firstLine="284"/>
        <w:jc w:val="center"/>
        <w:rPr>
          <w:rFonts w:ascii="Century Gothic" w:hAnsi="Century Gothic"/>
          <w:b/>
          <w:bCs/>
          <w:smallCaps/>
          <w:sz w:val="20"/>
          <w:szCs w:val="18"/>
          <w:u w:val="single"/>
        </w:rPr>
      </w:pPr>
      <w:r>
        <w:rPr>
          <w:rFonts w:ascii="Century Gothic" w:hAnsi="Century Gothic"/>
          <w:b/>
          <w:bCs/>
          <w:smallCaps/>
          <w:sz w:val="20"/>
          <w:u w:val="single"/>
        </w:rPr>
        <w:t>Depositi vincolati per tardivo pagamento assegni bancari ex art. 8 legge 386/1990 “dormienti”</w:t>
      </w:r>
    </w:p>
    <w:p w14:paraId="3CB71FBE" w14:textId="77777777" w:rsidR="009B6F99" w:rsidRDefault="009B6F99" w:rsidP="009B6F99">
      <w:pPr>
        <w:pStyle w:val="NormaleWeb"/>
        <w:spacing w:before="0" w:beforeAutospacing="0" w:after="0" w:afterAutospacing="0"/>
        <w:ind w:firstLine="567"/>
        <w:jc w:val="both"/>
        <w:rPr>
          <w:rFonts w:ascii="Century Gothic" w:hAnsi="Century Gothic"/>
          <w:sz w:val="20"/>
        </w:rPr>
      </w:pPr>
    </w:p>
    <w:p w14:paraId="58498FA4" w14:textId="77777777" w:rsidR="009B6F99" w:rsidRDefault="009B6F99" w:rsidP="009B6F99">
      <w:pPr>
        <w:autoSpaceDE w:val="0"/>
        <w:autoSpaceDN w:val="0"/>
        <w:adjustRightInd w:val="0"/>
        <w:jc w:val="both"/>
        <w:rPr>
          <w:rFonts w:ascii="Century Gothic" w:hAnsi="Century Gothic"/>
          <w:sz w:val="20"/>
        </w:rPr>
      </w:pPr>
      <w:r>
        <w:rPr>
          <w:rFonts w:ascii="Century Gothic" w:hAnsi="Century Gothic"/>
          <w:sz w:val="20"/>
        </w:rPr>
        <w:t>Rientrano nel campo di applicazione della disciplina in materia di depositi dormienti anche i depositi vincolati ai portatori dei titoli costituiti dai traenti di assegni bancari per il tardivo pagamento degli assegni stessi, ai sensi dell’art. 8 della legge 15 dicembre 1990 n. 386, il cui saldo sia superiore a 100,00 euro.</w:t>
      </w:r>
    </w:p>
    <w:p w14:paraId="19187BB2" w14:textId="77777777" w:rsidR="009B6F99" w:rsidRDefault="009B6F99" w:rsidP="009B6F99">
      <w:pPr>
        <w:autoSpaceDE w:val="0"/>
        <w:autoSpaceDN w:val="0"/>
        <w:adjustRightInd w:val="0"/>
        <w:jc w:val="both"/>
        <w:rPr>
          <w:rFonts w:ascii="Century Gothic" w:hAnsi="Century Gothic" w:cs="Calibri"/>
          <w:color w:val="000000"/>
        </w:rPr>
      </w:pPr>
    </w:p>
    <w:p w14:paraId="5B4E0B78" w14:textId="77777777" w:rsidR="009B6F99" w:rsidRDefault="009B6F99" w:rsidP="009B6F99">
      <w:pPr>
        <w:autoSpaceDE w:val="0"/>
        <w:autoSpaceDN w:val="0"/>
        <w:adjustRightInd w:val="0"/>
        <w:jc w:val="both"/>
        <w:rPr>
          <w:rFonts w:ascii="Century Gothic" w:hAnsi="Century Gothic"/>
          <w:sz w:val="20"/>
          <w:szCs w:val="19"/>
        </w:rPr>
      </w:pPr>
      <w:r>
        <w:rPr>
          <w:rFonts w:ascii="Century Gothic" w:hAnsi="Century Gothic"/>
          <w:sz w:val="20"/>
        </w:rPr>
        <w:t>Nel rispetto degli obblighi di informativa previsti dalla normativa, si invitano i legittimi portatori degli assegni bancari indicati nel relativo elenco allegato al presente avviso a</w:t>
      </w:r>
      <w:r>
        <w:rPr>
          <w:rFonts w:ascii="Century Gothic" w:hAnsi="Century Gothic"/>
          <w:sz w:val="20"/>
          <w:szCs w:val="19"/>
        </w:rPr>
        <w:t xml:space="preserve"> presentarsi, muniti del titolo, presso la filiale di riferimento indicata nell’elenco medesimo per l’incasso delle somme depositate, </w:t>
      </w:r>
      <w:r>
        <w:rPr>
          <w:rFonts w:ascii="Century Gothic" w:hAnsi="Century Gothic"/>
          <w:b/>
          <w:bCs/>
          <w:sz w:val="20"/>
          <w:szCs w:val="19"/>
        </w:rPr>
        <w:t>entro 180 giorni dalla data di affissione del predetto elenco</w:t>
      </w:r>
      <w:r>
        <w:rPr>
          <w:rFonts w:ascii="Century Gothic" w:hAnsi="Century Gothic"/>
          <w:sz w:val="20"/>
          <w:szCs w:val="19"/>
        </w:rPr>
        <w:t>.</w:t>
      </w:r>
    </w:p>
    <w:p w14:paraId="5C1AD016" w14:textId="77777777" w:rsidR="009B6F99" w:rsidRDefault="009B6F99" w:rsidP="009B6F99">
      <w:pPr>
        <w:autoSpaceDE w:val="0"/>
        <w:autoSpaceDN w:val="0"/>
        <w:adjustRightInd w:val="0"/>
        <w:jc w:val="both"/>
        <w:rPr>
          <w:rFonts w:ascii="Century Gothic" w:hAnsi="Century Gothic"/>
          <w:sz w:val="20"/>
          <w:szCs w:val="19"/>
        </w:rPr>
      </w:pPr>
    </w:p>
    <w:p w14:paraId="0BADBF80" w14:textId="77777777" w:rsidR="009B6F99" w:rsidRDefault="009B6F99" w:rsidP="009B6F99">
      <w:pPr>
        <w:autoSpaceDE w:val="0"/>
        <w:autoSpaceDN w:val="0"/>
        <w:adjustRightInd w:val="0"/>
        <w:jc w:val="both"/>
        <w:rPr>
          <w:rFonts w:ascii="Century Gothic" w:hAnsi="Century Gothic"/>
          <w:sz w:val="20"/>
          <w:szCs w:val="19"/>
        </w:rPr>
      </w:pPr>
      <w:r>
        <w:rPr>
          <w:rFonts w:ascii="Century Gothic" w:hAnsi="Century Gothic"/>
          <w:sz w:val="20"/>
          <w:szCs w:val="19"/>
        </w:rPr>
        <w:t>Si fa presente che, in mancanza di disposizioni in merito, decorso il termine sopra indicato, il rapporto verrà estinto e le relative somme ed i valori relativi al rapporto saranno devoluti al citato Fondo, secondo le modalità previste dal Regolamento.</w:t>
      </w:r>
    </w:p>
    <w:p w14:paraId="23984D5F" w14:textId="77777777" w:rsidR="009B6F99" w:rsidRDefault="009B6F99" w:rsidP="009B6F99">
      <w:pPr>
        <w:autoSpaceDE w:val="0"/>
        <w:autoSpaceDN w:val="0"/>
        <w:adjustRightInd w:val="0"/>
        <w:jc w:val="both"/>
        <w:rPr>
          <w:rFonts w:ascii="Century Gothic" w:hAnsi="Century Gothic"/>
          <w:sz w:val="20"/>
          <w:szCs w:val="19"/>
        </w:rPr>
      </w:pPr>
    </w:p>
    <w:p w14:paraId="24DCEE02" w14:textId="77777777" w:rsidR="009B6F99" w:rsidRDefault="009B6F99" w:rsidP="009B6F99">
      <w:pPr>
        <w:pStyle w:val="NormaleWeb"/>
        <w:spacing w:before="0" w:beforeAutospacing="0" w:after="0" w:afterAutospacing="0"/>
        <w:ind w:firstLine="567"/>
        <w:jc w:val="both"/>
        <w:rPr>
          <w:rFonts w:ascii="Century Gothic" w:hAnsi="Century Gothic"/>
          <w:sz w:val="20"/>
          <w:szCs w:val="18"/>
        </w:rPr>
      </w:pPr>
    </w:p>
    <w:p w14:paraId="4AA39AEB" w14:textId="77777777" w:rsidR="009B6F99" w:rsidRDefault="009B6F99" w:rsidP="009B6F99">
      <w:pPr>
        <w:pStyle w:val="NormaleWeb"/>
        <w:spacing w:before="0" w:beforeAutospacing="0" w:after="0" w:afterAutospacing="0"/>
        <w:jc w:val="center"/>
        <w:rPr>
          <w:rFonts w:ascii="Century Gothic" w:hAnsi="Century Gothic"/>
          <w:b/>
          <w:bCs/>
          <w:sz w:val="20"/>
          <w:u w:val="single"/>
        </w:rPr>
      </w:pPr>
      <w:r>
        <w:rPr>
          <w:rFonts w:ascii="Century Gothic" w:hAnsi="Century Gothic"/>
          <w:b/>
          <w:bCs/>
          <w:sz w:val="20"/>
          <w:u w:val="single"/>
        </w:rPr>
        <w:t>Il personale della banca è a disposizione per ogni ulteriore informazione.</w:t>
      </w:r>
    </w:p>
    <w:p w14:paraId="1E584CA1" w14:textId="7000AEA2" w:rsidR="00BC29C3" w:rsidRPr="009B6F99" w:rsidRDefault="00BC29C3" w:rsidP="009B6F99"/>
    <w:sectPr w:rsidR="00BC29C3" w:rsidRPr="009B6F99" w:rsidSect="00BC29C3">
      <w:headerReference w:type="default" r:id="rId9"/>
      <w:footerReference w:type="default" r:id="rId10"/>
      <w:pgSz w:w="11906" w:h="16838"/>
      <w:pgMar w:top="2160" w:right="709" w:bottom="1559" w:left="709" w:header="284"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7141E" w14:textId="77777777" w:rsidR="009B6F99" w:rsidRDefault="009B6F99" w:rsidP="00683DF5">
      <w:r>
        <w:separator/>
      </w:r>
    </w:p>
  </w:endnote>
  <w:endnote w:type="continuationSeparator" w:id="0">
    <w:p w14:paraId="4718A092" w14:textId="77777777" w:rsidR="009B6F99" w:rsidRDefault="009B6F99" w:rsidP="0068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uerBodni BT">
    <w:altName w:val="Times New Roman"/>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D6006" w14:textId="77777777" w:rsidR="00AC2304" w:rsidRPr="00761FC2" w:rsidRDefault="00761FC2" w:rsidP="00AC2304">
    <w:pPr>
      <w:pStyle w:val="Pidipagina"/>
      <w:rPr>
        <w:b/>
        <w:caps/>
        <w:color w:val="004F60"/>
        <w:sz w:val="11"/>
        <w:szCs w:val="11"/>
      </w:rPr>
    </w:pPr>
    <w:r w:rsidRPr="00761FC2">
      <w:rPr>
        <w:b/>
        <w:caps/>
        <w:color w:val="004F60"/>
        <w:sz w:val="11"/>
        <w:szCs w:val="11"/>
      </w:rPr>
      <w:t>Banca di Credito Cooperativo della Romagna Occidentale Società Cooperativa</w:t>
    </w:r>
  </w:p>
  <w:p w14:paraId="0D09ACD6" w14:textId="77777777" w:rsidR="007C159A" w:rsidRPr="00BC29C3" w:rsidRDefault="00BC29C3" w:rsidP="00BC29C3">
    <w:pPr>
      <w:rPr>
        <w:sz w:val="11"/>
        <w:szCs w:val="11"/>
      </w:rPr>
    </w:pPr>
    <w:r w:rsidRPr="00BC29C3">
      <w:rPr>
        <w:sz w:val="11"/>
        <w:szCs w:val="11"/>
      </w:rPr>
      <w:t>Iscritta all'Albo delle Coop. a Mutualità prevalente al n. A156508 - Iscritta all’Albo delle Banche al n. 2685 – ABI 08462.4</w:t>
    </w:r>
    <w:r>
      <w:rPr>
        <w:sz w:val="11"/>
        <w:szCs w:val="11"/>
      </w:rPr>
      <w:br/>
    </w:r>
    <w:r w:rsidRPr="00BC29C3">
      <w:rPr>
        <w:sz w:val="11"/>
        <w:szCs w:val="11"/>
      </w:rPr>
      <w:t>Aderente al Fondo Garanzia dei Depositanti del Credito Cooperativo</w:t>
    </w:r>
    <w:r>
      <w:rPr>
        <w:sz w:val="11"/>
        <w:szCs w:val="11"/>
      </w:rPr>
      <w:br/>
    </w:r>
    <w:r w:rsidRPr="00BC29C3">
      <w:rPr>
        <w:sz w:val="11"/>
        <w:szCs w:val="11"/>
      </w:rPr>
      <w:t>Aderente al Gruppo Bancario Cooperativo Cassa Centrale Banca, iscritto all’Albo dei Gruppi Bancari</w:t>
    </w:r>
    <w:r>
      <w:rPr>
        <w:sz w:val="11"/>
        <w:szCs w:val="11"/>
      </w:rPr>
      <w:br/>
    </w:r>
    <w:r w:rsidRPr="00BC29C3">
      <w:rPr>
        <w:sz w:val="11"/>
        <w:szCs w:val="11"/>
      </w:rPr>
      <w:t xml:space="preserve">Soggetta all’attività di direzione e coordinamento della Capogruppo Cassa Centrale Banca Credito Cooperativo Italiano </w:t>
    </w:r>
    <w:proofErr w:type="spellStart"/>
    <w:r w:rsidRPr="00BC29C3">
      <w:rPr>
        <w:sz w:val="11"/>
        <w:szCs w:val="11"/>
      </w:rPr>
      <w:t>SpA</w:t>
    </w:r>
    <w:proofErr w:type="spellEnd"/>
    <w:r>
      <w:rPr>
        <w:sz w:val="11"/>
        <w:szCs w:val="11"/>
      </w:rPr>
      <w:br/>
    </w:r>
    <w:r w:rsidRPr="00BC29C3">
      <w:rPr>
        <w:sz w:val="11"/>
        <w:szCs w:val="11"/>
      </w:rPr>
      <w:t>Iscrizione al Registro delle Imprese di Ravenna e Codice Fiscale n. 00068200393</w:t>
    </w:r>
    <w:r>
      <w:rPr>
        <w:sz w:val="11"/>
        <w:szCs w:val="11"/>
      </w:rPr>
      <w:br/>
    </w:r>
    <w:r w:rsidRPr="00BC29C3">
      <w:rPr>
        <w:sz w:val="11"/>
        <w:szCs w:val="11"/>
      </w:rPr>
      <w:t>Società partecipante al Gruppo IVA Cassa Centrale Banca – P.IVA 02529020220</w:t>
    </w:r>
    <w:r>
      <w:rPr>
        <w:sz w:val="11"/>
        <w:szCs w:val="11"/>
      </w:rPr>
      <w:br/>
    </w:r>
    <w:r w:rsidRPr="00BC29C3">
      <w:rPr>
        <w:sz w:val="11"/>
        <w:szCs w:val="11"/>
      </w:rPr>
      <w:t xml:space="preserve">Sede: 48014 Castel Bolognese (Ra) - Piazza Fanti, 17 - Tel. 0546 659111 - </w:t>
    </w:r>
    <w:hyperlink r:id="rId1" w:history="1">
      <w:r w:rsidRPr="007160F4">
        <w:rPr>
          <w:rStyle w:val="Collegamentoipertestuale"/>
          <w:sz w:val="11"/>
          <w:szCs w:val="11"/>
        </w:rPr>
        <w:t>info@bccro.it</w:t>
      </w:r>
    </w:hyperlink>
    <w:r>
      <w:rPr>
        <w:sz w:val="11"/>
        <w:szCs w:val="11"/>
      </w:rPr>
      <w:t xml:space="preserve"> - </w:t>
    </w:r>
    <w:r w:rsidRPr="00BC29C3">
      <w:rPr>
        <w:sz w:val="11"/>
        <w:szCs w:val="11"/>
      </w:rPr>
      <w:t xml:space="preserve">PEC: </w:t>
    </w:r>
    <w:hyperlink r:id="rId2" w:history="1">
      <w:r w:rsidRPr="007160F4">
        <w:rPr>
          <w:rStyle w:val="Collegamentoipertestuale"/>
          <w:sz w:val="11"/>
          <w:szCs w:val="11"/>
        </w:rPr>
        <w:t>segreteria.generale@postacer.romagna-occ.bcc.it</w:t>
      </w:r>
    </w:hyperlink>
    <w:r>
      <w:rPr>
        <w:sz w:val="11"/>
        <w:szCs w:val="11"/>
      </w:rPr>
      <w:t xml:space="preserve"> </w:t>
    </w:r>
    <w:r w:rsidR="00AC2304" w:rsidRPr="00BC29C3">
      <w:rPr>
        <w:sz w:val="11"/>
        <w:szCs w:val="1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06CAB" w14:textId="77777777" w:rsidR="009B6F99" w:rsidRDefault="009B6F99" w:rsidP="00683DF5">
      <w:r>
        <w:separator/>
      </w:r>
    </w:p>
  </w:footnote>
  <w:footnote w:type="continuationSeparator" w:id="0">
    <w:p w14:paraId="11849D9F" w14:textId="77777777" w:rsidR="009B6F99" w:rsidRDefault="009B6F99" w:rsidP="00683DF5">
      <w:r>
        <w:continuationSeparator/>
      </w:r>
    </w:p>
  </w:footnote>
  <w:footnote w:id="1">
    <w:p w14:paraId="224A6F84" w14:textId="77777777" w:rsidR="009B6F99" w:rsidRDefault="009B6F99" w:rsidP="009B6F99">
      <w:pPr>
        <w:pStyle w:val="PreformattatoHTML"/>
        <w:shd w:val="clear" w:color="auto" w:fill="FFFFFF"/>
        <w:jc w:val="both"/>
        <w:rPr>
          <w:rFonts w:ascii="Century Gothic" w:hAnsi="Century Gothic"/>
          <w:color w:val="19191A"/>
          <w:sz w:val="18"/>
          <w:szCs w:val="18"/>
        </w:rPr>
      </w:pPr>
      <w:r>
        <w:rPr>
          <w:rStyle w:val="Rimandonotaapidipagina"/>
        </w:rPr>
        <w:footnoteRef/>
      </w:r>
      <w:r>
        <w:t xml:space="preserve"> </w:t>
      </w:r>
      <w:r>
        <w:rPr>
          <w:rFonts w:ascii="Century Gothic" w:hAnsi="Century Gothic"/>
          <w:color w:val="19191A"/>
          <w:sz w:val="18"/>
          <w:szCs w:val="18"/>
        </w:rPr>
        <w:t>E’  vietato  il  trasferimento  di libretti  di  deposito  bancari  o  postali  al  portatore  che,  ove esistenti, avrebbero dovuto essere estinti dal portatore entro il 31 dicembre 2018. La violazione della prescrizione di cui all’articolo 49, comma 12, è punita con la sanzione amministrativa pecuniaria da 250 a 500 euro.</w:t>
      </w:r>
    </w:p>
    <w:p w14:paraId="1CA4E848" w14:textId="77777777" w:rsidR="009B6F99" w:rsidRDefault="009B6F99" w:rsidP="009B6F99">
      <w:pPr>
        <w:pStyle w:val="Testonotaapidipagin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117A8" w14:textId="77777777" w:rsidR="0085566F" w:rsidRDefault="00F049FD" w:rsidP="007C159A">
    <w:pPr>
      <w:ind w:right="1"/>
    </w:pPr>
    <w:r>
      <w:rPr>
        <w:noProof/>
      </w:rPr>
      <w:drawing>
        <wp:anchor distT="0" distB="0" distL="114300" distR="114300" simplePos="0" relativeHeight="251658240" behindDoc="0" locked="0" layoutInCell="1" allowOverlap="1" wp14:anchorId="7079D65E" wp14:editId="0D21D1E2">
          <wp:simplePos x="0" y="0"/>
          <wp:positionH relativeFrom="column">
            <wp:posOffset>-448945</wp:posOffset>
          </wp:positionH>
          <wp:positionV relativeFrom="paragraph">
            <wp:posOffset>3175</wp:posOffset>
          </wp:positionV>
          <wp:extent cx="7568304" cy="1004400"/>
          <wp:effectExtent l="0" t="0" r="0" b="0"/>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sorsa 1.jpg"/>
                  <pic:cNvPicPr/>
                </pic:nvPicPr>
                <pic:blipFill>
                  <a:blip r:embed="rId1">
                    <a:extLst>
                      <a:ext uri="{28A0092B-C50C-407E-A947-70E740481C1C}">
                        <a14:useLocalDpi xmlns:a14="http://schemas.microsoft.com/office/drawing/2010/main" val="0"/>
                      </a:ext>
                    </a:extLst>
                  </a:blip>
                  <a:stretch>
                    <a:fillRect/>
                  </a:stretch>
                </pic:blipFill>
                <pic:spPr>
                  <a:xfrm>
                    <a:off x="0" y="0"/>
                    <a:ext cx="7568304" cy="100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4587C"/>
    <w:multiLevelType w:val="multilevel"/>
    <w:tmpl w:val="003415D2"/>
    <w:lvl w:ilvl="0">
      <w:start w:val="1"/>
      <w:numFmt w:val="bullet"/>
      <w:lvlText w:val=""/>
      <w:lvlJc w:val="left"/>
      <w:pPr>
        <w:ind w:left="567" w:hanging="283"/>
      </w:pPr>
      <w:rPr>
        <w:rFonts w:ascii="Wingdings 2" w:hAnsi="Wingdings 2" w:hint="default"/>
        <w:b w:val="0"/>
        <w:i w:val="0"/>
        <w:caps w:val="0"/>
        <w:strike w:val="0"/>
        <w:dstrike w:val="0"/>
        <w:vanish w:val="0"/>
        <w:color w:val="00536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2701FE"/>
    <w:multiLevelType w:val="hybridMultilevel"/>
    <w:tmpl w:val="4E8A6F12"/>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0C5FB2"/>
    <w:multiLevelType w:val="hybridMultilevel"/>
    <w:tmpl w:val="981E33A6"/>
    <w:lvl w:ilvl="0" w:tplc="746AA7AA">
      <w:start w:val="1"/>
      <w:numFmt w:val="decimal"/>
      <w:lvlText w:val="%1."/>
      <w:lvlJc w:val="left"/>
      <w:pPr>
        <w:ind w:left="567" w:hanging="28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F84ED4"/>
    <w:multiLevelType w:val="hybridMultilevel"/>
    <w:tmpl w:val="A3E61F6E"/>
    <w:lvl w:ilvl="0" w:tplc="0410001B">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A2E58EF"/>
    <w:multiLevelType w:val="hybridMultilevel"/>
    <w:tmpl w:val="2ECA49B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186E67"/>
    <w:multiLevelType w:val="hybridMultilevel"/>
    <w:tmpl w:val="5252A9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6ED6D88"/>
    <w:multiLevelType w:val="hybridMultilevel"/>
    <w:tmpl w:val="827C4594"/>
    <w:lvl w:ilvl="0" w:tplc="0410000B">
      <w:start w:val="1"/>
      <w:numFmt w:val="bullet"/>
      <w:lvlText w:val=""/>
      <w:lvlJc w:val="left"/>
      <w:pPr>
        <w:tabs>
          <w:tab w:val="num" w:pos="3763"/>
        </w:tabs>
        <w:ind w:left="3763" w:hanging="360"/>
      </w:pPr>
      <w:rPr>
        <w:rFonts w:ascii="Wingdings" w:hAnsi="Wingdings" w:hint="default"/>
      </w:rPr>
    </w:lvl>
    <w:lvl w:ilvl="1" w:tplc="04100003" w:tentative="1">
      <w:start w:val="1"/>
      <w:numFmt w:val="bullet"/>
      <w:lvlText w:val="o"/>
      <w:lvlJc w:val="left"/>
      <w:pPr>
        <w:tabs>
          <w:tab w:val="num" w:pos="4483"/>
        </w:tabs>
        <w:ind w:left="4483" w:hanging="360"/>
      </w:pPr>
      <w:rPr>
        <w:rFonts w:ascii="Courier New" w:hAnsi="Courier New" w:cs="Courier New" w:hint="default"/>
      </w:rPr>
    </w:lvl>
    <w:lvl w:ilvl="2" w:tplc="04100005" w:tentative="1">
      <w:start w:val="1"/>
      <w:numFmt w:val="bullet"/>
      <w:lvlText w:val=""/>
      <w:lvlJc w:val="left"/>
      <w:pPr>
        <w:tabs>
          <w:tab w:val="num" w:pos="5203"/>
        </w:tabs>
        <w:ind w:left="5203" w:hanging="360"/>
      </w:pPr>
      <w:rPr>
        <w:rFonts w:ascii="Wingdings" w:hAnsi="Wingdings" w:hint="default"/>
      </w:rPr>
    </w:lvl>
    <w:lvl w:ilvl="3" w:tplc="04100001" w:tentative="1">
      <w:start w:val="1"/>
      <w:numFmt w:val="bullet"/>
      <w:lvlText w:val=""/>
      <w:lvlJc w:val="left"/>
      <w:pPr>
        <w:tabs>
          <w:tab w:val="num" w:pos="5923"/>
        </w:tabs>
        <w:ind w:left="5923" w:hanging="360"/>
      </w:pPr>
      <w:rPr>
        <w:rFonts w:ascii="Symbol" w:hAnsi="Symbol" w:hint="default"/>
      </w:rPr>
    </w:lvl>
    <w:lvl w:ilvl="4" w:tplc="04100003" w:tentative="1">
      <w:start w:val="1"/>
      <w:numFmt w:val="bullet"/>
      <w:lvlText w:val="o"/>
      <w:lvlJc w:val="left"/>
      <w:pPr>
        <w:tabs>
          <w:tab w:val="num" w:pos="6643"/>
        </w:tabs>
        <w:ind w:left="6643" w:hanging="360"/>
      </w:pPr>
      <w:rPr>
        <w:rFonts w:ascii="Courier New" w:hAnsi="Courier New" w:cs="Courier New" w:hint="default"/>
      </w:rPr>
    </w:lvl>
    <w:lvl w:ilvl="5" w:tplc="04100005" w:tentative="1">
      <w:start w:val="1"/>
      <w:numFmt w:val="bullet"/>
      <w:lvlText w:val=""/>
      <w:lvlJc w:val="left"/>
      <w:pPr>
        <w:tabs>
          <w:tab w:val="num" w:pos="7363"/>
        </w:tabs>
        <w:ind w:left="7363" w:hanging="360"/>
      </w:pPr>
      <w:rPr>
        <w:rFonts w:ascii="Wingdings" w:hAnsi="Wingdings" w:hint="default"/>
      </w:rPr>
    </w:lvl>
    <w:lvl w:ilvl="6" w:tplc="04100001" w:tentative="1">
      <w:start w:val="1"/>
      <w:numFmt w:val="bullet"/>
      <w:lvlText w:val=""/>
      <w:lvlJc w:val="left"/>
      <w:pPr>
        <w:tabs>
          <w:tab w:val="num" w:pos="8083"/>
        </w:tabs>
        <w:ind w:left="8083" w:hanging="360"/>
      </w:pPr>
      <w:rPr>
        <w:rFonts w:ascii="Symbol" w:hAnsi="Symbol" w:hint="default"/>
      </w:rPr>
    </w:lvl>
    <w:lvl w:ilvl="7" w:tplc="04100003" w:tentative="1">
      <w:start w:val="1"/>
      <w:numFmt w:val="bullet"/>
      <w:lvlText w:val="o"/>
      <w:lvlJc w:val="left"/>
      <w:pPr>
        <w:tabs>
          <w:tab w:val="num" w:pos="8803"/>
        </w:tabs>
        <w:ind w:left="8803" w:hanging="360"/>
      </w:pPr>
      <w:rPr>
        <w:rFonts w:ascii="Courier New" w:hAnsi="Courier New" w:cs="Courier New" w:hint="default"/>
      </w:rPr>
    </w:lvl>
    <w:lvl w:ilvl="8" w:tplc="04100005" w:tentative="1">
      <w:start w:val="1"/>
      <w:numFmt w:val="bullet"/>
      <w:lvlText w:val=""/>
      <w:lvlJc w:val="left"/>
      <w:pPr>
        <w:tabs>
          <w:tab w:val="num" w:pos="9523"/>
        </w:tabs>
        <w:ind w:left="9523" w:hanging="360"/>
      </w:pPr>
      <w:rPr>
        <w:rFonts w:ascii="Wingdings" w:hAnsi="Wingdings" w:hint="default"/>
      </w:rPr>
    </w:lvl>
  </w:abstractNum>
  <w:abstractNum w:abstractNumId="7" w15:restartNumberingAfterBreak="0">
    <w:nsid w:val="38C05759"/>
    <w:multiLevelType w:val="hybridMultilevel"/>
    <w:tmpl w:val="7EA4FC0C"/>
    <w:lvl w:ilvl="0" w:tplc="FC665CC6">
      <w:start w:val="1"/>
      <w:numFmt w:val="bullet"/>
      <w:lvlText w:val=""/>
      <w:lvlJc w:val="left"/>
      <w:pPr>
        <w:tabs>
          <w:tab w:val="num" w:pos="1068"/>
        </w:tabs>
        <w:ind w:left="821" w:hanging="113"/>
      </w:pPr>
      <w:rPr>
        <w:rFonts w:ascii="Wingdings" w:hAnsi="Wingdings" w:hint="default"/>
      </w:rPr>
    </w:lvl>
    <w:lvl w:ilvl="1" w:tplc="04100001">
      <w:start w:val="1"/>
      <w:numFmt w:val="bullet"/>
      <w:lvlText w:val=""/>
      <w:lvlJc w:val="left"/>
      <w:pPr>
        <w:tabs>
          <w:tab w:val="num" w:pos="2148"/>
        </w:tabs>
        <w:ind w:left="2148" w:hanging="360"/>
      </w:pPr>
      <w:rPr>
        <w:rFonts w:ascii="Symbol" w:hAnsi="Symbol" w:hint="default"/>
      </w:rPr>
    </w:lvl>
    <w:lvl w:ilvl="2" w:tplc="04100005">
      <w:start w:val="1"/>
      <w:numFmt w:val="bullet"/>
      <w:lvlText w:val=""/>
      <w:lvlJc w:val="left"/>
      <w:pPr>
        <w:tabs>
          <w:tab w:val="num" w:pos="2868"/>
        </w:tabs>
        <w:ind w:left="2868" w:hanging="360"/>
      </w:pPr>
      <w:rPr>
        <w:rFonts w:ascii="Wingdings" w:hAnsi="Wingdings" w:hint="default"/>
      </w:rPr>
    </w:lvl>
    <w:lvl w:ilvl="3" w:tplc="04100001">
      <w:start w:val="1"/>
      <w:numFmt w:val="bullet"/>
      <w:lvlText w:val=""/>
      <w:lvlJc w:val="left"/>
      <w:pPr>
        <w:tabs>
          <w:tab w:val="num" w:pos="3588"/>
        </w:tabs>
        <w:ind w:left="3588" w:hanging="360"/>
      </w:pPr>
      <w:rPr>
        <w:rFonts w:ascii="Symbol" w:hAnsi="Symbol" w:hint="default"/>
      </w:rPr>
    </w:lvl>
    <w:lvl w:ilvl="4" w:tplc="04100003">
      <w:start w:val="1"/>
      <w:numFmt w:val="bullet"/>
      <w:lvlText w:val="o"/>
      <w:lvlJc w:val="left"/>
      <w:pPr>
        <w:tabs>
          <w:tab w:val="num" w:pos="4308"/>
        </w:tabs>
        <w:ind w:left="4308" w:hanging="360"/>
      </w:pPr>
      <w:rPr>
        <w:rFonts w:ascii="Courier New" w:hAnsi="Courier New" w:cs="Times New Roman" w:hint="default"/>
      </w:rPr>
    </w:lvl>
    <w:lvl w:ilvl="5" w:tplc="04100005">
      <w:start w:val="1"/>
      <w:numFmt w:val="bullet"/>
      <w:lvlText w:val=""/>
      <w:lvlJc w:val="left"/>
      <w:pPr>
        <w:tabs>
          <w:tab w:val="num" w:pos="5028"/>
        </w:tabs>
        <w:ind w:left="5028" w:hanging="360"/>
      </w:pPr>
      <w:rPr>
        <w:rFonts w:ascii="Wingdings" w:hAnsi="Wingdings" w:hint="default"/>
      </w:rPr>
    </w:lvl>
    <w:lvl w:ilvl="6" w:tplc="04100001">
      <w:start w:val="1"/>
      <w:numFmt w:val="bullet"/>
      <w:lvlText w:val=""/>
      <w:lvlJc w:val="left"/>
      <w:pPr>
        <w:tabs>
          <w:tab w:val="num" w:pos="5748"/>
        </w:tabs>
        <w:ind w:left="5748" w:hanging="360"/>
      </w:pPr>
      <w:rPr>
        <w:rFonts w:ascii="Symbol" w:hAnsi="Symbol" w:hint="default"/>
      </w:rPr>
    </w:lvl>
    <w:lvl w:ilvl="7" w:tplc="04100003">
      <w:start w:val="1"/>
      <w:numFmt w:val="bullet"/>
      <w:lvlText w:val="o"/>
      <w:lvlJc w:val="left"/>
      <w:pPr>
        <w:tabs>
          <w:tab w:val="num" w:pos="6468"/>
        </w:tabs>
        <w:ind w:left="6468" w:hanging="360"/>
      </w:pPr>
      <w:rPr>
        <w:rFonts w:ascii="Courier New" w:hAnsi="Courier New" w:cs="Times New Roman" w:hint="default"/>
      </w:rPr>
    </w:lvl>
    <w:lvl w:ilvl="8" w:tplc="04100005">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3D9D65BC"/>
    <w:multiLevelType w:val="hybridMultilevel"/>
    <w:tmpl w:val="6B0ABA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FA85CA7"/>
    <w:multiLevelType w:val="hybridMultilevel"/>
    <w:tmpl w:val="64604528"/>
    <w:lvl w:ilvl="0" w:tplc="0E529E02">
      <w:start w:val="1"/>
      <w:numFmt w:val="decimal"/>
      <w:lvlText w:val="%1."/>
      <w:lvlJc w:val="left"/>
      <w:pPr>
        <w:ind w:left="567" w:hanging="28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C2329DB"/>
    <w:multiLevelType w:val="hybridMultilevel"/>
    <w:tmpl w:val="D448451E"/>
    <w:lvl w:ilvl="0" w:tplc="87D45AF4">
      <w:start w:val="1"/>
      <w:numFmt w:val="bullet"/>
      <w:pStyle w:val="Paragrafoelenco"/>
      <w:lvlText w:val=""/>
      <w:lvlJc w:val="left"/>
      <w:pPr>
        <w:ind w:left="567" w:hanging="283"/>
      </w:pPr>
      <w:rPr>
        <w:rFonts w:ascii="Wingdings" w:hAnsi="Wingdings" w:hint="default"/>
        <w:color w:val="45454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12B1933"/>
    <w:multiLevelType w:val="hybridMultilevel"/>
    <w:tmpl w:val="CEDAFC28"/>
    <w:lvl w:ilvl="0" w:tplc="8D46594A">
      <w:start w:val="1"/>
      <w:numFmt w:val="bullet"/>
      <w:lvlText w:val=""/>
      <w:lvlJc w:val="left"/>
      <w:pPr>
        <w:ind w:left="644" w:hanging="360"/>
      </w:pPr>
      <w:rPr>
        <w:rFonts w:ascii="Wingdings" w:hAnsi="Wingdings" w:hint="default"/>
        <w:b/>
        <w:i w:val="0"/>
        <w:caps w:val="0"/>
        <w:strike w:val="0"/>
        <w:dstrike w:val="0"/>
        <w:vanish w:val="0"/>
        <w:color w:val="FFBA3A"/>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8E70AE"/>
    <w:multiLevelType w:val="hybridMultilevel"/>
    <w:tmpl w:val="2DBCCE52"/>
    <w:lvl w:ilvl="0" w:tplc="0410001B">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BBA4039"/>
    <w:multiLevelType w:val="hybridMultilevel"/>
    <w:tmpl w:val="376481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DE72AD7"/>
    <w:multiLevelType w:val="multilevel"/>
    <w:tmpl w:val="CEDAFC28"/>
    <w:lvl w:ilvl="0">
      <w:start w:val="1"/>
      <w:numFmt w:val="bullet"/>
      <w:lvlText w:val=""/>
      <w:lvlJc w:val="left"/>
      <w:pPr>
        <w:ind w:left="644" w:hanging="360"/>
      </w:pPr>
      <w:rPr>
        <w:rFonts w:ascii="Wingdings" w:hAnsi="Wingdings" w:hint="default"/>
        <w:b/>
        <w:i w:val="0"/>
        <w:caps w:val="0"/>
        <w:strike w:val="0"/>
        <w:dstrike w:val="0"/>
        <w:vanish w:val="0"/>
        <w:color w:val="FFBA3A"/>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6871F08"/>
    <w:multiLevelType w:val="hybridMultilevel"/>
    <w:tmpl w:val="524C86C6"/>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start w:val="1"/>
      <w:numFmt w:val="bullet"/>
      <w:lvlText w:val=""/>
      <w:lvlJc w:val="left"/>
      <w:pPr>
        <w:ind w:left="2205" w:hanging="360"/>
      </w:pPr>
      <w:rPr>
        <w:rFonts w:ascii="Wingdings" w:hAnsi="Wingdings" w:hint="default"/>
      </w:rPr>
    </w:lvl>
    <w:lvl w:ilvl="3" w:tplc="04100001">
      <w:start w:val="1"/>
      <w:numFmt w:val="bullet"/>
      <w:lvlText w:val=""/>
      <w:lvlJc w:val="left"/>
      <w:pPr>
        <w:ind w:left="2925" w:hanging="360"/>
      </w:pPr>
      <w:rPr>
        <w:rFonts w:ascii="Symbol" w:hAnsi="Symbol" w:hint="default"/>
      </w:rPr>
    </w:lvl>
    <w:lvl w:ilvl="4" w:tplc="04100003">
      <w:start w:val="1"/>
      <w:numFmt w:val="bullet"/>
      <w:lvlText w:val="o"/>
      <w:lvlJc w:val="left"/>
      <w:pPr>
        <w:ind w:left="3645" w:hanging="360"/>
      </w:pPr>
      <w:rPr>
        <w:rFonts w:ascii="Courier New" w:hAnsi="Courier New" w:cs="Courier New" w:hint="default"/>
      </w:rPr>
    </w:lvl>
    <w:lvl w:ilvl="5" w:tplc="04100005">
      <w:start w:val="1"/>
      <w:numFmt w:val="bullet"/>
      <w:lvlText w:val=""/>
      <w:lvlJc w:val="left"/>
      <w:pPr>
        <w:ind w:left="4365" w:hanging="360"/>
      </w:pPr>
      <w:rPr>
        <w:rFonts w:ascii="Wingdings" w:hAnsi="Wingdings" w:hint="default"/>
      </w:rPr>
    </w:lvl>
    <w:lvl w:ilvl="6" w:tplc="04100001">
      <w:start w:val="1"/>
      <w:numFmt w:val="bullet"/>
      <w:lvlText w:val=""/>
      <w:lvlJc w:val="left"/>
      <w:pPr>
        <w:ind w:left="5085" w:hanging="360"/>
      </w:pPr>
      <w:rPr>
        <w:rFonts w:ascii="Symbol" w:hAnsi="Symbol" w:hint="default"/>
      </w:rPr>
    </w:lvl>
    <w:lvl w:ilvl="7" w:tplc="04100003">
      <w:start w:val="1"/>
      <w:numFmt w:val="bullet"/>
      <w:lvlText w:val="o"/>
      <w:lvlJc w:val="left"/>
      <w:pPr>
        <w:ind w:left="5805" w:hanging="360"/>
      </w:pPr>
      <w:rPr>
        <w:rFonts w:ascii="Courier New" w:hAnsi="Courier New" w:cs="Courier New" w:hint="default"/>
      </w:rPr>
    </w:lvl>
    <w:lvl w:ilvl="8" w:tplc="04100005">
      <w:start w:val="1"/>
      <w:numFmt w:val="bullet"/>
      <w:lvlText w:val=""/>
      <w:lvlJc w:val="left"/>
      <w:pPr>
        <w:ind w:left="6525" w:hanging="360"/>
      </w:pPr>
      <w:rPr>
        <w:rFonts w:ascii="Wingdings" w:hAnsi="Wingdings" w:hint="default"/>
      </w:rPr>
    </w:lvl>
  </w:abstractNum>
  <w:abstractNum w:abstractNumId="16" w15:restartNumberingAfterBreak="0">
    <w:nsid w:val="68973ABF"/>
    <w:multiLevelType w:val="multilevel"/>
    <w:tmpl w:val="4E8A6F12"/>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2F458CC"/>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3D7416E"/>
    <w:multiLevelType w:val="hybridMultilevel"/>
    <w:tmpl w:val="EB641DEA"/>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89242AA"/>
    <w:multiLevelType w:val="hybridMultilevel"/>
    <w:tmpl w:val="F1A01D08"/>
    <w:lvl w:ilvl="0" w:tplc="F4669EC8">
      <w:start w:val="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9A20712"/>
    <w:multiLevelType w:val="hybridMultilevel"/>
    <w:tmpl w:val="BB509FBC"/>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4"/>
  </w:num>
  <w:num w:numId="3">
    <w:abstractNumId w:val="13"/>
  </w:num>
  <w:num w:numId="4">
    <w:abstractNumId w:val="8"/>
  </w:num>
  <w:num w:numId="5">
    <w:abstractNumId w:val="18"/>
  </w:num>
  <w:num w:numId="6">
    <w:abstractNumId w:val="12"/>
  </w:num>
  <w:num w:numId="7">
    <w:abstractNumId w:val="3"/>
  </w:num>
  <w:num w:numId="8">
    <w:abstractNumId w:val="19"/>
  </w:num>
  <w:num w:numId="9">
    <w:abstractNumId w:val="11"/>
  </w:num>
  <w:num w:numId="10">
    <w:abstractNumId w:val="0"/>
  </w:num>
  <w:num w:numId="11">
    <w:abstractNumId w:val="14"/>
  </w:num>
  <w:num w:numId="12">
    <w:abstractNumId w:val="5"/>
  </w:num>
  <w:num w:numId="13">
    <w:abstractNumId w:val="1"/>
  </w:num>
  <w:num w:numId="14">
    <w:abstractNumId w:val="16"/>
  </w:num>
  <w:num w:numId="15">
    <w:abstractNumId w:val="10"/>
  </w:num>
  <w:num w:numId="16">
    <w:abstractNumId w:val="2"/>
  </w:num>
  <w:num w:numId="17">
    <w:abstractNumId w:val="20"/>
  </w:num>
  <w:num w:numId="18">
    <w:abstractNumId w:val="9"/>
  </w:num>
  <w:num w:numId="19">
    <w:abstractNumId w:val="17"/>
  </w:num>
  <w:num w:numId="20">
    <w:abstractNumId w:val="7"/>
    <w:lvlOverride w:ilvl="0"/>
    <w:lvlOverride w:ilvl="1"/>
    <w:lvlOverride w:ilvl="2"/>
    <w:lvlOverride w:ilvl="3"/>
    <w:lvlOverride w:ilvl="4"/>
    <w:lvlOverride w:ilvl="5"/>
    <w:lvlOverride w:ilvl="6"/>
    <w:lvlOverride w:ilvl="7"/>
    <w:lvlOverride w:ilvl="8"/>
  </w:num>
  <w:num w:numId="21">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F99"/>
    <w:rsid w:val="0004688E"/>
    <w:rsid w:val="000651CF"/>
    <w:rsid w:val="0008467A"/>
    <w:rsid w:val="000865B8"/>
    <w:rsid w:val="000A460C"/>
    <w:rsid w:val="000A50ED"/>
    <w:rsid w:val="000F0855"/>
    <w:rsid w:val="00130FE3"/>
    <w:rsid w:val="00132363"/>
    <w:rsid w:val="0014540C"/>
    <w:rsid w:val="00156782"/>
    <w:rsid w:val="00166DE2"/>
    <w:rsid w:val="001C3023"/>
    <w:rsid w:val="001D1DA2"/>
    <w:rsid w:val="001D645C"/>
    <w:rsid w:val="001E3E61"/>
    <w:rsid w:val="001F0142"/>
    <w:rsid w:val="00263A13"/>
    <w:rsid w:val="002835FA"/>
    <w:rsid w:val="00292EA7"/>
    <w:rsid w:val="002A079E"/>
    <w:rsid w:val="002A7326"/>
    <w:rsid w:val="002B1F54"/>
    <w:rsid w:val="002B7F3E"/>
    <w:rsid w:val="002D6AA3"/>
    <w:rsid w:val="002E73C7"/>
    <w:rsid w:val="002F110F"/>
    <w:rsid w:val="002F3435"/>
    <w:rsid w:val="002F6529"/>
    <w:rsid w:val="00333A22"/>
    <w:rsid w:val="00366BA2"/>
    <w:rsid w:val="003A320A"/>
    <w:rsid w:val="003D2306"/>
    <w:rsid w:val="003D293F"/>
    <w:rsid w:val="003F00DF"/>
    <w:rsid w:val="00433D6B"/>
    <w:rsid w:val="00443AAF"/>
    <w:rsid w:val="004508A3"/>
    <w:rsid w:val="004708F9"/>
    <w:rsid w:val="00475E33"/>
    <w:rsid w:val="004771A0"/>
    <w:rsid w:val="00491BEE"/>
    <w:rsid w:val="004A3C18"/>
    <w:rsid w:val="004B3EF1"/>
    <w:rsid w:val="004B769A"/>
    <w:rsid w:val="004C35F1"/>
    <w:rsid w:val="004D31BF"/>
    <w:rsid w:val="004E14DA"/>
    <w:rsid w:val="0051432B"/>
    <w:rsid w:val="00534DF3"/>
    <w:rsid w:val="005361ED"/>
    <w:rsid w:val="00551770"/>
    <w:rsid w:val="005567BB"/>
    <w:rsid w:val="00584AC1"/>
    <w:rsid w:val="00586FCD"/>
    <w:rsid w:val="0059742E"/>
    <w:rsid w:val="005D1417"/>
    <w:rsid w:val="005F1A4B"/>
    <w:rsid w:val="00613EB5"/>
    <w:rsid w:val="00625F08"/>
    <w:rsid w:val="00632A43"/>
    <w:rsid w:val="00653144"/>
    <w:rsid w:val="00683DF5"/>
    <w:rsid w:val="006A61C9"/>
    <w:rsid w:val="006A71CD"/>
    <w:rsid w:val="006F4372"/>
    <w:rsid w:val="00701A67"/>
    <w:rsid w:val="00711DCD"/>
    <w:rsid w:val="00723CA1"/>
    <w:rsid w:val="007473EE"/>
    <w:rsid w:val="00760DCF"/>
    <w:rsid w:val="00761FC2"/>
    <w:rsid w:val="00763BA9"/>
    <w:rsid w:val="0076797D"/>
    <w:rsid w:val="00782198"/>
    <w:rsid w:val="007840AB"/>
    <w:rsid w:val="0079148C"/>
    <w:rsid w:val="007B5931"/>
    <w:rsid w:val="007B694E"/>
    <w:rsid w:val="007C159A"/>
    <w:rsid w:val="007D1B61"/>
    <w:rsid w:val="007F5CE9"/>
    <w:rsid w:val="00803CD5"/>
    <w:rsid w:val="008310D5"/>
    <w:rsid w:val="008346D5"/>
    <w:rsid w:val="0085566F"/>
    <w:rsid w:val="00872757"/>
    <w:rsid w:val="008B2F25"/>
    <w:rsid w:val="008C71F2"/>
    <w:rsid w:val="008F6296"/>
    <w:rsid w:val="0091221A"/>
    <w:rsid w:val="00945C09"/>
    <w:rsid w:val="00977444"/>
    <w:rsid w:val="00982D33"/>
    <w:rsid w:val="009B6F99"/>
    <w:rsid w:val="009F11B9"/>
    <w:rsid w:val="00A40FEA"/>
    <w:rsid w:val="00A45872"/>
    <w:rsid w:val="00AC2304"/>
    <w:rsid w:val="00AD095F"/>
    <w:rsid w:val="00B02006"/>
    <w:rsid w:val="00B12AF4"/>
    <w:rsid w:val="00B42E3B"/>
    <w:rsid w:val="00B52811"/>
    <w:rsid w:val="00B7736D"/>
    <w:rsid w:val="00B9106E"/>
    <w:rsid w:val="00BA4652"/>
    <w:rsid w:val="00BB0381"/>
    <w:rsid w:val="00BB76B0"/>
    <w:rsid w:val="00BC29C3"/>
    <w:rsid w:val="00BD0C61"/>
    <w:rsid w:val="00BD5FB0"/>
    <w:rsid w:val="00BF3010"/>
    <w:rsid w:val="00C569E5"/>
    <w:rsid w:val="00C7663F"/>
    <w:rsid w:val="00C92264"/>
    <w:rsid w:val="00CA0AE4"/>
    <w:rsid w:val="00CF3EE3"/>
    <w:rsid w:val="00D05BE9"/>
    <w:rsid w:val="00D22DE2"/>
    <w:rsid w:val="00D83DD6"/>
    <w:rsid w:val="00DC695B"/>
    <w:rsid w:val="00DE122F"/>
    <w:rsid w:val="00E079A1"/>
    <w:rsid w:val="00E47280"/>
    <w:rsid w:val="00E507B4"/>
    <w:rsid w:val="00E6338A"/>
    <w:rsid w:val="00EA79A3"/>
    <w:rsid w:val="00EC5D0C"/>
    <w:rsid w:val="00EE52A4"/>
    <w:rsid w:val="00F02DA3"/>
    <w:rsid w:val="00F03F0D"/>
    <w:rsid w:val="00F049FD"/>
    <w:rsid w:val="00F108F7"/>
    <w:rsid w:val="00F15B4D"/>
    <w:rsid w:val="00F22EFA"/>
    <w:rsid w:val="00F23F77"/>
    <w:rsid w:val="00F635D3"/>
    <w:rsid w:val="00FA6585"/>
    <w:rsid w:val="00FD4E68"/>
    <w:rsid w:val="00FF01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2D2E4"/>
  <w15:docId w15:val="{861AC333-DD82-4B03-8F70-F9A675E33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6F99"/>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uiPriority w:val="9"/>
    <w:qFormat/>
    <w:rsid w:val="00E6338A"/>
    <w:pPr>
      <w:spacing w:after="120"/>
      <w:mirrorIndents/>
      <w:outlineLvl w:val="0"/>
    </w:pPr>
    <w:rPr>
      <w:b/>
      <w:color w:val="454545"/>
      <w:sz w:val="32"/>
      <w:szCs w:val="36"/>
    </w:rPr>
  </w:style>
  <w:style w:type="paragraph" w:styleId="Titolo2">
    <w:name w:val="heading 2"/>
    <w:basedOn w:val="Normale"/>
    <w:next w:val="Normale"/>
    <w:link w:val="Titolo2Carattere"/>
    <w:uiPriority w:val="9"/>
    <w:unhideWhenUsed/>
    <w:qFormat/>
    <w:rsid w:val="00AD095F"/>
    <w:pPr>
      <w:spacing w:after="120"/>
      <w:mirrorIndents/>
      <w:outlineLvl w:val="1"/>
    </w:pPr>
    <w:rPr>
      <w:b/>
      <w:caps/>
      <w:color w:val="454545"/>
      <w:szCs w:val="36"/>
    </w:rPr>
  </w:style>
  <w:style w:type="paragraph" w:styleId="Titolo3">
    <w:name w:val="heading 3"/>
    <w:basedOn w:val="Normale"/>
    <w:next w:val="Normale"/>
    <w:link w:val="Titolo3Carattere"/>
    <w:uiPriority w:val="9"/>
    <w:unhideWhenUsed/>
    <w:qFormat/>
    <w:rsid w:val="00AD095F"/>
    <w:pPr>
      <w:spacing w:after="120"/>
      <w:mirrorIndents/>
      <w:outlineLvl w:val="2"/>
    </w:pPr>
    <w:rPr>
      <w:b/>
      <w:caps/>
      <w:color w:val="454545"/>
      <w:szCs w:val="36"/>
    </w:rPr>
  </w:style>
  <w:style w:type="paragraph" w:styleId="Titolo4">
    <w:name w:val="heading 4"/>
    <w:basedOn w:val="Normale"/>
    <w:next w:val="Normale"/>
    <w:link w:val="Titolo4Carattere"/>
    <w:uiPriority w:val="9"/>
    <w:unhideWhenUsed/>
    <w:qFormat/>
    <w:rsid w:val="00AD095F"/>
    <w:pPr>
      <w:spacing w:after="120"/>
      <w:mirrorIndents/>
      <w:outlineLvl w:val="3"/>
    </w:pPr>
    <w:rPr>
      <w:b/>
      <w:color w:val="454545"/>
      <w:szCs w:val="36"/>
    </w:rPr>
  </w:style>
  <w:style w:type="paragraph" w:styleId="Titolo5">
    <w:name w:val="heading 5"/>
    <w:basedOn w:val="Normale"/>
    <w:next w:val="Normale"/>
    <w:link w:val="Titolo5Carattere"/>
    <w:uiPriority w:val="9"/>
    <w:unhideWhenUsed/>
    <w:qFormat/>
    <w:rsid w:val="00AD095F"/>
    <w:pPr>
      <w:spacing w:after="120"/>
      <w:mirrorIndents/>
      <w:outlineLvl w:val="4"/>
    </w:pPr>
    <w:rPr>
      <w:b/>
      <w:i/>
      <w:color w:val="454545"/>
      <w:szCs w:val="36"/>
    </w:rPr>
  </w:style>
  <w:style w:type="paragraph" w:styleId="Titolo6">
    <w:name w:val="heading 6"/>
    <w:basedOn w:val="Normale"/>
    <w:next w:val="Normale"/>
    <w:link w:val="Titolo6Carattere"/>
    <w:unhideWhenUsed/>
    <w:qFormat/>
    <w:rsid w:val="00AD095F"/>
    <w:pPr>
      <w:spacing w:after="120"/>
      <w:mirrorIndents/>
      <w:outlineLvl w:val="5"/>
    </w:pPr>
    <w:rPr>
      <w:i/>
      <w:color w:val="454545"/>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0651CF"/>
    <w:rPr>
      <w:b/>
    </w:rPr>
  </w:style>
  <w:style w:type="character" w:styleId="Enfasicorsivo">
    <w:name w:val="Emphasis"/>
    <w:uiPriority w:val="20"/>
    <w:qFormat/>
    <w:rsid w:val="000651CF"/>
    <w:rPr>
      <w:i/>
    </w:rPr>
  </w:style>
  <w:style w:type="paragraph" w:styleId="Pidipagina">
    <w:name w:val="footer"/>
    <w:basedOn w:val="Normale"/>
    <w:link w:val="PidipaginaCarattere"/>
    <w:uiPriority w:val="99"/>
    <w:unhideWhenUsed/>
    <w:rsid w:val="00D05BE9"/>
    <w:pPr>
      <w:pBdr>
        <w:top w:val="single" w:sz="4" w:space="10" w:color="004F60"/>
      </w:pBdr>
      <w:tabs>
        <w:tab w:val="center" w:pos="4819"/>
        <w:tab w:val="right" w:pos="9638"/>
      </w:tabs>
    </w:pPr>
  </w:style>
  <w:style w:type="character" w:customStyle="1" w:styleId="PidipaginaCarattere">
    <w:name w:val="Piè di pagina Carattere"/>
    <w:basedOn w:val="Carpredefinitoparagrafo"/>
    <w:link w:val="Pidipagina"/>
    <w:uiPriority w:val="99"/>
    <w:rsid w:val="00D05BE9"/>
    <w:rPr>
      <w:rFonts w:ascii="Century Gothic" w:eastAsia="Times New Roman" w:hAnsi="Century Gothic" w:cs="Arial"/>
      <w:color w:val="000000" w:themeColor="text1"/>
      <w:szCs w:val="21"/>
      <w:shd w:val="clear" w:color="auto" w:fill="FFFFFF"/>
      <w:lang w:val="en-US"/>
    </w:rPr>
  </w:style>
  <w:style w:type="paragraph" w:styleId="Testofumetto">
    <w:name w:val="Balloon Text"/>
    <w:basedOn w:val="Normale"/>
    <w:link w:val="TestofumettoCarattere"/>
    <w:uiPriority w:val="99"/>
    <w:semiHidden/>
    <w:unhideWhenUsed/>
    <w:rsid w:val="0085566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66F"/>
    <w:rPr>
      <w:rFonts w:ascii="Tahoma" w:hAnsi="Tahoma" w:cs="Tahoma"/>
      <w:sz w:val="16"/>
      <w:szCs w:val="16"/>
    </w:rPr>
  </w:style>
  <w:style w:type="paragraph" w:styleId="Paragrafoelenco">
    <w:name w:val="List Paragraph"/>
    <w:basedOn w:val="Normale"/>
    <w:uiPriority w:val="34"/>
    <w:qFormat/>
    <w:rsid w:val="00AD095F"/>
    <w:pPr>
      <w:numPr>
        <w:numId w:val="15"/>
      </w:numPr>
      <w:contextualSpacing/>
    </w:pPr>
  </w:style>
  <w:style w:type="paragraph" w:styleId="NormaleWeb">
    <w:name w:val="Normal (Web)"/>
    <w:basedOn w:val="Normale"/>
    <w:uiPriority w:val="99"/>
    <w:semiHidden/>
    <w:unhideWhenUsed/>
    <w:rsid w:val="007473EE"/>
    <w:pPr>
      <w:spacing w:before="100" w:beforeAutospacing="1" w:after="100" w:afterAutospacing="1"/>
    </w:pPr>
  </w:style>
  <w:style w:type="paragraph" w:customStyle="1" w:styleId="Areacompetenza">
    <w:name w:val="Area competenza"/>
    <w:basedOn w:val="Normale"/>
    <w:qFormat/>
    <w:rsid w:val="00723CA1"/>
    <w:rPr>
      <w:rFonts w:eastAsiaTheme="minorEastAsia"/>
      <w:sz w:val="18"/>
      <w:szCs w:val="18"/>
    </w:rPr>
  </w:style>
  <w:style w:type="paragraph" w:customStyle="1" w:styleId="Destinatario">
    <w:name w:val="Destinatario"/>
    <w:basedOn w:val="Normale"/>
    <w:qFormat/>
    <w:rsid w:val="00723CA1"/>
    <w:pPr>
      <w:spacing w:after="720"/>
      <w:ind w:left="5103"/>
    </w:pPr>
    <w:rPr>
      <w:rFonts w:eastAsiaTheme="minorEastAsia"/>
    </w:rPr>
  </w:style>
  <w:style w:type="character" w:customStyle="1" w:styleId="Titolo5Carattere">
    <w:name w:val="Titolo 5 Carattere"/>
    <w:basedOn w:val="Carpredefinitoparagrafo"/>
    <w:link w:val="Titolo5"/>
    <w:uiPriority w:val="9"/>
    <w:rsid w:val="00AD095F"/>
    <w:rPr>
      <w:rFonts w:ascii="Century Gothic" w:eastAsia="Times New Roman" w:hAnsi="Century Gothic" w:cs="Arial"/>
      <w:b/>
      <w:i/>
      <w:color w:val="454545"/>
      <w:sz w:val="18"/>
      <w:szCs w:val="36"/>
      <w:shd w:val="clear" w:color="auto" w:fill="FFFFFF"/>
      <w:lang w:val="en-US"/>
    </w:rPr>
  </w:style>
  <w:style w:type="character" w:customStyle="1" w:styleId="Titolo6Carattere">
    <w:name w:val="Titolo 6 Carattere"/>
    <w:basedOn w:val="Carpredefinitoparagrafo"/>
    <w:link w:val="Titolo6"/>
    <w:rsid w:val="00AD095F"/>
    <w:rPr>
      <w:rFonts w:ascii="Century Gothic" w:eastAsia="Times New Roman" w:hAnsi="Century Gothic" w:cs="Arial"/>
      <w:i/>
      <w:color w:val="454545"/>
      <w:sz w:val="18"/>
      <w:szCs w:val="36"/>
      <w:shd w:val="clear" w:color="auto" w:fill="FFFFFF"/>
      <w:lang w:val="en-US"/>
    </w:rPr>
  </w:style>
  <w:style w:type="character" w:styleId="Enfasiintensa">
    <w:name w:val="Intense Emphasis"/>
    <w:aliases w:val="Link"/>
    <w:basedOn w:val="Enfasigrassetto"/>
    <w:uiPriority w:val="21"/>
    <w:qFormat/>
    <w:rsid w:val="00AD095F"/>
    <w:rPr>
      <w:b/>
      <w:color w:val="000000" w:themeColor="text1"/>
      <w:u w:val="single"/>
    </w:rPr>
  </w:style>
  <w:style w:type="paragraph" w:customStyle="1" w:styleId="Note">
    <w:name w:val="Note"/>
    <w:basedOn w:val="Normale"/>
    <w:qFormat/>
    <w:rsid w:val="007B5931"/>
    <w:pPr>
      <w:spacing w:before="480"/>
      <w:mirrorIndents/>
    </w:pPr>
    <w:rPr>
      <w:i/>
      <w:sz w:val="14"/>
    </w:rPr>
  </w:style>
  <w:style w:type="character" w:customStyle="1" w:styleId="Titolo1Carattere">
    <w:name w:val="Titolo 1 Carattere"/>
    <w:basedOn w:val="Carpredefinitoparagrafo"/>
    <w:link w:val="Titolo1"/>
    <w:uiPriority w:val="9"/>
    <w:rsid w:val="00E6338A"/>
    <w:rPr>
      <w:rFonts w:ascii="Century Gothic" w:eastAsia="Times New Roman" w:hAnsi="Century Gothic" w:cs="Arial"/>
      <w:b/>
      <w:color w:val="454545"/>
      <w:sz w:val="32"/>
      <w:szCs w:val="36"/>
      <w:shd w:val="clear" w:color="auto" w:fill="FFFFFF"/>
      <w:lang w:val="en-US"/>
    </w:rPr>
  </w:style>
  <w:style w:type="character" w:customStyle="1" w:styleId="Titolo2Carattere">
    <w:name w:val="Titolo 2 Carattere"/>
    <w:basedOn w:val="Carpredefinitoparagrafo"/>
    <w:link w:val="Titolo2"/>
    <w:uiPriority w:val="9"/>
    <w:rsid w:val="00AD095F"/>
    <w:rPr>
      <w:rFonts w:ascii="Century Gothic" w:eastAsia="Times New Roman" w:hAnsi="Century Gothic" w:cs="Arial"/>
      <w:b/>
      <w:caps/>
      <w:color w:val="454545"/>
      <w:sz w:val="24"/>
      <w:szCs w:val="36"/>
      <w:shd w:val="clear" w:color="auto" w:fill="FFFFFF"/>
      <w:lang w:val="en-US"/>
    </w:rPr>
  </w:style>
  <w:style w:type="character" w:customStyle="1" w:styleId="Titolo3Carattere">
    <w:name w:val="Titolo 3 Carattere"/>
    <w:basedOn w:val="Carpredefinitoparagrafo"/>
    <w:link w:val="Titolo3"/>
    <w:uiPriority w:val="9"/>
    <w:rsid w:val="00AD095F"/>
    <w:rPr>
      <w:rFonts w:ascii="Century Gothic" w:eastAsia="Times New Roman" w:hAnsi="Century Gothic" w:cs="Arial"/>
      <w:b/>
      <w:caps/>
      <w:color w:val="454545"/>
      <w:sz w:val="18"/>
      <w:szCs w:val="36"/>
      <w:shd w:val="clear" w:color="auto" w:fill="FFFFFF"/>
      <w:lang w:val="en-US"/>
    </w:rPr>
  </w:style>
  <w:style w:type="character" w:customStyle="1" w:styleId="Titolo4Carattere">
    <w:name w:val="Titolo 4 Carattere"/>
    <w:basedOn w:val="Carpredefinitoparagrafo"/>
    <w:link w:val="Titolo4"/>
    <w:uiPriority w:val="9"/>
    <w:rsid w:val="00AD095F"/>
    <w:rPr>
      <w:rFonts w:ascii="Century Gothic" w:eastAsia="Times New Roman" w:hAnsi="Century Gothic" w:cs="Arial"/>
      <w:b/>
      <w:color w:val="454545"/>
      <w:sz w:val="18"/>
      <w:szCs w:val="36"/>
      <w:shd w:val="clear" w:color="auto" w:fill="FFFFFF"/>
      <w:lang w:val="en-US"/>
    </w:rPr>
  </w:style>
  <w:style w:type="paragraph" w:styleId="Intestazione">
    <w:name w:val="header"/>
    <w:basedOn w:val="Normale"/>
    <w:link w:val="IntestazioneCarattere"/>
    <w:uiPriority w:val="99"/>
    <w:unhideWhenUsed/>
    <w:rsid w:val="00F03F0D"/>
    <w:pPr>
      <w:tabs>
        <w:tab w:val="center" w:pos="4819"/>
        <w:tab w:val="right" w:pos="9638"/>
      </w:tabs>
    </w:pPr>
  </w:style>
  <w:style w:type="character" w:customStyle="1" w:styleId="IntestazioneCarattere">
    <w:name w:val="Intestazione Carattere"/>
    <w:basedOn w:val="Carpredefinitoparagrafo"/>
    <w:link w:val="Intestazione"/>
    <w:uiPriority w:val="99"/>
    <w:rsid w:val="00F03F0D"/>
    <w:rPr>
      <w:rFonts w:ascii="Century Gothic" w:eastAsia="Times New Roman" w:hAnsi="Century Gothic" w:cs="Arial"/>
      <w:color w:val="000000" w:themeColor="text1"/>
      <w:szCs w:val="21"/>
      <w:shd w:val="clear" w:color="auto" w:fill="FFFFFF"/>
      <w:lang w:val="en-US"/>
    </w:rPr>
  </w:style>
  <w:style w:type="character" w:styleId="Collegamentoipertestuale">
    <w:name w:val="Hyperlink"/>
    <w:basedOn w:val="Carpredefinitoparagrafo"/>
    <w:uiPriority w:val="99"/>
    <w:unhideWhenUsed/>
    <w:rsid w:val="00F03F0D"/>
    <w:rPr>
      <w:color w:val="0000FF" w:themeColor="hyperlink"/>
      <w:u w:val="single"/>
    </w:rPr>
  </w:style>
  <w:style w:type="paragraph" w:styleId="Rientrocorpodeltesto">
    <w:name w:val="Body Text Indent"/>
    <w:basedOn w:val="Normale"/>
    <w:link w:val="RientrocorpodeltestoCarattere"/>
    <w:rsid w:val="00BC29C3"/>
    <w:pPr>
      <w:ind w:left="4933"/>
    </w:pPr>
    <w:rPr>
      <w:rFonts w:ascii="BauerBodni BT" w:hAnsi="BauerBodni BT"/>
    </w:rPr>
  </w:style>
  <w:style w:type="character" w:customStyle="1" w:styleId="RientrocorpodeltestoCarattere">
    <w:name w:val="Rientro corpo del testo Carattere"/>
    <w:basedOn w:val="Carpredefinitoparagrafo"/>
    <w:link w:val="Rientrocorpodeltesto"/>
    <w:rsid w:val="00BC29C3"/>
    <w:rPr>
      <w:rFonts w:ascii="BauerBodni BT" w:eastAsia="Times New Roman" w:hAnsi="BauerBodni BT" w:cs="Times New Roman"/>
      <w:sz w:val="24"/>
      <w:szCs w:val="24"/>
    </w:rPr>
  </w:style>
  <w:style w:type="paragraph" w:styleId="PreformattatoHTML">
    <w:name w:val="HTML Preformatted"/>
    <w:basedOn w:val="Normale"/>
    <w:link w:val="PreformattatoHTMLCarattere"/>
    <w:uiPriority w:val="99"/>
    <w:semiHidden/>
    <w:unhideWhenUsed/>
    <w:rsid w:val="009B6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9B6F99"/>
    <w:rPr>
      <w:rFonts w:ascii="Courier New" w:eastAsia="Times New Roman" w:hAnsi="Courier New" w:cs="Courier New"/>
      <w:sz w:val="20"/>
      <w:szCs w:val="20"/>
    </w:rPr>
  </w:style>
  <w:style w:type="paragraph" w:styleId="Testonotaapidipagina">
    <w:name w:val="footnote text"/>
    <w:basedOn w:val="Normale"/>
    <w:link w:val="TestonotaapidipaginaCarattere"/>
    <w:uiPriority w:val="99"/>
    <w:semiHidden/>
    <w:unhideWhenUsed/>
    <w:rsid w:val="009B6F99"/>
    <w:rPr>
      <w:sz w:val="20"/>
      <w:szCs w:val="20"/>
    </w:rPr>
  </w:style>
  <w:style w:type="character" w:customStyle="1" w:styleId="TestonotaapidipaginaCarattere">
    <w:name w:val="Testo nota a piè di pagina Carattere"/>
    <w:basedOn w:val="Carpredefinitoparagrafo"/>
    <w:link w:val="Testonotaapidipagina"/>
    <w:uiPriority w:val="99"/>
    <w:semiHidden/>
    <w:rsid w:val="009B6F99"/>
    <w:rPr>
      <w:rFonts w:ascii="Times New Roman" w:eastAsia="Times New Roman" w:hAnsi="Times New Roman" w:cs="Times New Roman"/>
      <w:sz w:val="20"/>
      <w:szCs w:val="20"/>
    </w:rPr>
  </w:style>
  <w:style w:type="paragraph" w:styleId="Testocommento">
    <w:name w:val="annotation text"/>
    <w:basedOn w:val="Normale"/>
    <w:link w:val="TestocommentoCarattere"/>
    <w:uiPriority w:val="99"/>
    <w:semiHidden/>
    <w:unhideWhenUsed/>
    <w:rsid w:val="009B6F99"/>
    <w:rPr>
      <w:sz w:val="20"/>
      <w:szCs w:val="20"/>
    </w:rPr>
  </w:style>
  <w:style w:type="character" w:customStyle="1" w:styleId="TestocommentoCarattere">
    <w:name w:val="Testo commento Carattere"/>
    <w:basedOn w:val="Carpredefinitoparagrafo"/>
    <w:link w:val="Testocommento"/>
    <w:uiPriority w:val="99"/>
    <w:semiHidden/>
    <w:rsid w:val="009B6F99"/>
    <w:rPr>
      <w:rFonts w:ascii="Times New Roman" w:eastAsia="Times New Roman" w:hAnsi="Times New Roman" w:cs="Times New Roman"/>
      <w:sz w:val="20"/>
      <w:szCs w:val="20"/>
    </w:rPr>
  </w:style>
  <w:style w:type="character" w:styleId="Rimandonotaapidipagina">
    <w:name w:val="footnote reference"/>
    <w:uiPriority w:val="99"/>
    <w:semiHidden/>
    <w:unhideWhenUsed/>
    <w:rsid w:val="009B6F99"/>
    <w:rPr>
      <w:vertAlign w:val="superscript"/>
    </w:rPr>
  </w:style>
  <w:style w:type="character" w:styleId="Rimandocommento">
    <w:name w:val="annotation reference"/>
    <w:uiPriority w:val="99"/>
    <w:semiHidden/>
    <w:unhideWhenUsed/>
    <w:rsid w:val="009B6F99"/>
    <w:rPr>
      <w:sz w:val="16"/>
      <w:szCs w:val="16"/>
    </w:rPr>
  </w:style>
  <w:style w:type="character" w:customStyle="1" w:styleId="numero">
    <w:name w:val="numero"/>
    <w:basedOn w:val="Carpredefinitoparagrafo"/>
    <w:rsid w:val="009B6F99"/>
  </w:style>
  <w:style w:type="character" w:customStyle="1" w:styleId="tipo">
    <w:name w:val="tipo"/>
    <w:basedOn w:val="Carpredefinitoparagrafo"/>
    <w:rsid w:val="009B6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730349">
      <w:bodyDiv w:val="1"/>
      <w:marLeft w:val="0"/>
      <w:marRight w:val="0"/>
      <w:marTop w:val="0"/>
      <w:marBottom w:val="0"/>
      <w:divBdr>
        <w:top w:val="none" w:sz="0" w:space="0" w:color="auto"/>
        <w:left w:val="none" w:sz="0" w:space="0" w:color="auto"/>
        <w:bottom w:val="none" w:sz="0" w:space="0" w:color="auto"/>
        <w:right w:val="none" w:sz="0" w:space="0" w:color="auto"/>
      </w:divBdr>
    </w:div>
    <w:div w:id="463501483">
      <w:bodyDiv w:val="1"/>
      <w:marLeft w:val="0"/>
      <w:marRight w:val="0"/>
      <w:marTop w:val="0"/>
      <w:marBottom w:val="0"/>
      <w:divBdr>
        <w:top w:val="none" w:sz="0" w:space="0" w:color="auto"/>
        <w:left w:val="none" w:sz="0" w:space="0" w:color="auto"/>
        <w:bottom w:val="none" w:sz="0" w:space="0" w:color="auto"/>
        <w:right w:val="none" w:sz="0" w:space="0" w:color="auto"/>
      </w:divBdr>
    </w:div>
    <w:div w:id="69110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jur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egreteria.generale@postacer.romagna-occ.bcc.it" TargetMode="External"/><Relationship Id="rId1" Type="http://schemas.openxmlformats.org/officeDocument/2006/relationships/hyperlink" Target="mailto:info@bccr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Modelli%20Office\Carta_Intestata_CCB.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DE57C-FAAE-42FF-8969-E5F010A1A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Carta_Intestata_CCB.dotx</Template>
  <TotalTime>4</TotalTime>
  <Pages>2</Pages>
  <Words>1011</Words>
  <Characters>5765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Cassa Centrale Banca</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HU0142 - Barberio Cinzia</dc:creator>
  <cp:lastModifiedBy>Cinzia Barberio</cp:lastModifiedBy>
  <cp:revision>1</cp:revision>
  <cp:lastPrinted>2019-10-28T10:17:00Z</cp:lastPrinted>
  <dcterms:created xsi:type="dcterms:W3CDTF">2022-02-28T11:23:00Z</dcterms:created>
  <dcterms:modified xsi:type="dcterms:W3CDTF">2022-02-28T11:27:00Z</dcterms:modified>
</cp:coreProperties>
</file>